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B4DE5" w14:paraId="072477A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CCD17B2" w14:textId="77777777" w:rsidR="00A80767" w:rsidRPr="004B4DE5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4B4DE5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312CE8C" w14:textId="77777777" w:rsidR="00A80767" w:rsidRPr="004B4DE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81D7AC7" wp14:editId="2DFBEEC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38AA442" w14:textId="77777777" w:rsidR="00AF67EB" w:rsidRPr="004B4DE5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4B4DE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48CC31D2" w14:textId="77777777" w:rsidR="00A80767" w:rsidRPr="004B4DE5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4B4D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4B4D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4B4DE5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4B4DE5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4B4DE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4B4DE5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CA027D1" w14:textId="045C087C" w:rsidR="00A80767" w:rsidRPr="004B4DE5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02752"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4.10</w:t>
            </w:r>
          </w:p>
        </w:tc>
      </w:tr>
      <w:tr w:rsidR="00A80767" w:rsidRPr="004B4DE5" w14:paraId="278EAF1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D0F561A" w14:textId="77777777" w:rsidR="00A80767" w:rsidRPr="004B4DE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066F6C3" w14:textId="77777777" w:rsidR="00A80767" w:rsidRPr="004B4DE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9159672" w14:textId="6C605221" w:rsidR="00A80767" w:rsidRPr="004B4DE5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02752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SG-URB</w:t>
            </w:r>
          </w:p>
          <w:p w14:paraId="0C3953C8" w14:textId="3951CB67" w:rsidR="00A80767" w:rsidRPr="004B4DE5" w:rsidRDefault="00A0275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19</w:t>
            </w:r>
            <w:r w:rsidR="00F21B41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4B4DE5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0E4FD442" w14:textId="77777777" w:rsidR="00A80767" w:rsidRPr="004B4DE5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4B4DE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27DFA0EE" w14:textId="57438144" w:rsidR="00856FF8" w:rsidRPr="004B4DE5" w:rsidRDefault="00856FF8" w:rsidP="00E04FDA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4B4DE5">
        <w:rPr>
          <w:b/>
          <w:bCs/>
          <w:lang w:val="fr-FR"/>
        </w:rPr>
        <w:t>POINT </w:t>
      </w:r>
      <w:r w:rsidR="00A02752" w:rsidRPr="004B4DE5">
        <w:rPr>
          <w:b/>
          <w:bCs/>
          <w:lang w:val="fr-FR"/>
        </w:rPr>
        <w:t>4</w:t>
      </w:r>
      <w:r w:rsidRPr="004B4DE5">
        <w:rPr>
          <w:b/>
          <w:bCs/>
          <w:lang w:val="fr-FR"/>
        </w:rPr>
        <w:t xml:space="preserve"> DE L</w:t>
      </w:r>
      <w:r w:rsidR="002B48AD">
        <w:rPr>
          <w:b/>
          <w:bCs/>
          <w:lang w:val="fr-FR"/>
        </w:rPr>
        <w:t>’</w:t>
      </w:r>
      <w:r w:rsidRPr="004B4DE5">
        <w:rPr>
          <w:b/>
          <w:bCs/>
          <w:lang w:val="fr-FR"/>
        </w:rPr>
        <w:t>ORDRE DU JOUR:</w:t>
      </w:r>
      <w:r w:rsidRPr="004B4DE5">
        <w:rPr>
          <w:b/>
          <w:bCs/>
          <w:lang w:val="fr-FR"/>
        </w:rPr>
        <w:tab/>
      </w:r>
      <w:r w:rsidR="00E04FDA" w:rsidRPr="004B4DE5">
        <w:rPr>
          <w:b/>
          <w:bCs/>
          <w:lang w:val="fr-FR"/>
        </w:rPr>
        <w:t>RÈGLEMENT TECHNIQUE ET AUTRES QUESTIONS TECHNIQUES</w:t>
      </w:r>
    </w:p>
    <w:p w14:paraId="492D9E4E" w14:textId="764AFBE6" w:rsidR="00856FF8" w:rsidRPr="004B4DE5" w:rsidRDefault="00856FF8" w:rsidP="00856FF8">
      <w:pPr>
        <w:pStyle w:val="WMOBodyText"/>
        <w:ind w:left="2977" w:hanging="2977"/>
        <w:rPr>
          <w:b/>
          <w:bCs/>
          <w:lang w:val="fr-FR"/>
        </w:rPr>
      </w:pPr>
      <w:r w:rsidRPr="004B4DE5">
        <w:rPr>
          <w:b/>
          <w:bCs/>
          <w:lang w:val="fr-FR"/>
        </w:rPr>
        <w:t>POINT </w:t>
      </w:r>
      <w:r w:rsidR="00A02752" w:rsidRPr="004B4DE5">
        <w:rPr>
          <w:b/>
          <w:bCs/>
          <w:lang w:val="fr-FR"/>
        </w:rPr>
        <w:t>4</w:t>
      </w:r>
      <w:r w:rsidRPr="004B4DE5">
        <w:rPr>
          <w:b/>
          <w:bCs/>
          <w:lang w:val="fr-FR"/>
        </w:rPr>
        <w:t>.</w:t>
      </w:r>
      <w:r w:rsidR="00A02752" w:rsidRPr="004B4DE5">
        <w:rPr>
          <w:b/>
          <w:bCs/>
          <w:lang w:val="fr-FR"/>
        </w:rPr>
        <w:t>10</w:t>
      </w:r>
      <w:r w:rsidRPr="004B4DE5">
        <w:rPr>
          <w:b/>
          <w:bCs/>
          <w:lang w:val="fr-FR"/>
        </w:rPr>
        <w:t xml:space="preserve"> DE L</w:t>
      </w:r>
      <w:r w:rsidR="002B48AD">
        <w:rPr>
          <w:b/>
          <w:bCs/>
          <w:lang w:val="fr-FR"/>
        </w:rPr>
        <w:t>’</w:t>
      </w:r>
      <w:r w:rsidRPr="004B4DE5">
        <w:rPr>
          <w:b/>
          <w:bCs/>
          <w:lang w:val="fr-FR"/>
        </w:rPr>
        <w:t>ORDRE DU JOUR:</w:t>
      </w:r>
      <w:r w:rsidRPr="004B4DE5">
        <w:rPr>
          <w:b/>
          <w:bCs/>
          <w:lang w:val="fr-FR"/>
        </w:rPr>
        <w:tab/>
      </w:r>
      <w:r w:rsidR="0059013E" w:rsidRPr="004B4DE5">
        <w:rPr>
          <w:b/>
          <w:bCs/>
          <w:lang w:val="fr-FR"/>
        </w:rPr>
        <w:t>Services urbains intégrés</w:t>
      </w:r>
    </w:p>
    <w:p w14:paraId="761EF9FD" w14:textId="687E9ECD" w:rsidR="00A80767" w:rsidRPr="004B4DE5" w:rsidRDefault="0059013E" w:rsidP="00F1603F">
      <w:pPr>
        <w:pStyle w:val="Heading1"/>
        <w:spacing w:before="480"/>
        <w:rPr>
          <w:lang w:val="fr-FR"/>
        </w:rPr>
      </w:pPr>
      <w:r w:rsidRPr="004B4DE5">
        <w:rPr>
          <w:lang w:val="fr-FR"/>
        </w:rPr>
        <w:t>Services urbains intégrés</w:t>
      </w:r>
    </w:p>
    <w:p w14:paraId="1D694F15" w14:textId="77777777" w:rsidR="00025AEB" w:rsidRPr="004B4DE5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4B4DE5" w14:paraId="28ED1DAB" w14:textId="77777777" w:rsidTr="00250A6B">
        <w:trPr>
          <w:jc w:val="center"/>
        </w:trPr>
        <w:tc>
          <w:tcPr>
            <w:tcW w:w="9634" w:type="dxa"/>
          </w:tcPr>
          <w:p w14:paraId="1191FEEA" w14:textId="51329CE1" w:rsidR="00025AEB" w:rsidRPr="004B4DE5" w:rsidRDefault="00025AEB" w:rsidP="0059013E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4B4DE5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F1603F" w14:paraId="31F8C8A7" w14:textId="77777777" w:rsidTr="00250A6B">
        <w:trPr>
          <w:jc w:val="center"/>
        </w:trPr>
        <w:tc>
          <w:tcPr>
            <w:tcW w:w="9634" w:type="dxa"/>
          </w:tcPr>
          <w:p w14:paraId="2B97E79D" w14:textId="052D9B6B" w:rsidR="00025AEB" w:rsidRPr="004B4DE5" w:rsidRDefault="00025AEB" w:rsidP="009976D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B4DE5">
              <w:rPr>
                <w:b/>
                <w:bCs/>
                <w:lang w:val="fr-FR"/>
              </w:rPr>
              <w:t>Document présenté par:</w:t>
            </w:r>
            <w:r w:rsidRPr="004B4DE5">
              <w:rPr>
                <w:lang w:val="fr-FR"/>
              </w:rPr>
              <w:t xml:space="preserve"> </w:t>
            </w:r>
            <w:r w:rsidR="00784E49" w:rsidRPr="004B4DE5">
              <w:rPr>
                <w:lang w:val="fr-FR"/>
              </w:rPr>
              <w:t>Président du Groupe d</w:t>
            </w:r>
            <w:r w:rsidR="002B48AD">
              <w:rPr>
                <w:lang w:val="fr-FR"/>
              </w:rPr>
              <w:t>’</w:t>
            </w:r>
            <w:r w:rsidR="00784E49" w:rsidRPr="004B4DE5">
              <w:rPr>
                <w:lang w:val="fr-FR"/>
              </w:rPr>
              <w:t>étude des services urbains intégrés (SG</w:t>
            </w:r>
            <w:r w:rsidR="006B54A3">
              <w:rPr>
                <w:lang w:val="fr-FR"/>
              </w:rPr>
              <w:noBreakHyphen/>
            </w:r>
            <w:r w:rsidR="00784E49" w:rsidRPr="004B4DE5">
              <w:rPr>
                <w:lang w:val="fr-FR"/>
              </w:rPr>
              <w:t>URB)</w:t>
            </w:r>
            <w:r w:rsidR="0016285B" w:rsidRPr="004B4DE5">
              <w:rPr>
                <w:lang w:val="fr-FR"/>
              </w:rPr>
              <w:t xml:space="preserve"> pour donner suite à la </w:t>
            </w:r>
            <w:hyperlink r:id="rId12" w:history="1">
              <w:r w:rsidR="0016285B" w:rsidRPr="004B4DE5">
                <w:rPr>
                  <w:rStyle w:val="Hyperlink"/>
                  <w:lang w:val="fr-FR"/>
                </w:rPr>
                <w:t>résolut</w:t>
              </w:r>
              <w:r w:rsidR="0016285B" w:rsidRPr="004B4DE5">
                <w:rPr>
                  <w:rStyle w:val="Hyperlink"/>
                  <w:lang w:val="fr-FR"/>
                </w:rPr>
                <w:t>i</w:t>
              </w:r>
              <w:r w:rsidR="0016285B" w:rsidRPr="004B4DE5">
                <w:rPr>
                  <w:rStyle w:val="Hyperlink"/>
                  <w:lang w:val="fr-FR"/>
                </w:rPr>
                <w:t>on 7 (Cg-18)</w:t>
              </w:r>
            </w:hyperlink>
            <w:r w:rsidR="0016285B" w:rsidRPr="004B4DE5">
              <w:rPr>
                <w:lang w:val="fr-FR"/>
              </w:rPr>
              <w:t xml:space="preserve"> </w:t>
            </w:r>
            <w:r w:rsidR="00F1603F">
              <w:rPr>
                <w:lang w:val="en-CH"/>
              </w:rPr>
              <w:t>–</w:t>
            </w:r>
            <w:r w:rsidR="0016285B" w:rsidRPr="004B4DE5">
              <w:rPr>
                <w:lang w:val="fr-FR"/>
              </w:rPr>
              <w:t xml:space="preserve"> </w:t>
            </w:r>
            <w:r w:rsidR="008013BF" w:rsidRPr="004B4DE5">
              <w:rPr>
                <w:lang w:val="fr-FR"/>
              </w:rPr>
              <w:t>Établissement de commissions techniques de l</w:t>
            </w:r>
            <w:r w:rsidR="002B48AD">
              <w:rPr>
                <w:lang w:val="fr-FR"/>
              </w:rPr>
              <w:t>’</w:t>
            </w:r>
            <w:r w:rsidR="008013BF" w:rsidRPr="004B4DE5">
              <w:rPr>
                <w:lang w:val="fr-FR"/>
              </w:rPr>
              <w:t>OMM pour la dix-huitième période financière</w:t>
            </w:r>
            <w:r w:rsidR="00097B9D">
              <w:rPr>
                <w:lang w:val="fr-FR"/>
              </w:rPr>
              <w:t>,</w:t>
            </w:r>
            <w:r w:rsidR="00C727D5" w:rsidRPr="004B4DE5">
              <w:rPr>
                <w:lang w:val="fr-FR"/>
              </w:rPr>
              <w:t xml:space="preserve"> </w:t>
            </w:r>
            <w:r w:rsidR="005A20AA" w:rsidRPr="004B4DE5">
              <w:rPr>
                <w:lang w:val="fr-FR"/>
              </w:rPr>
              <w:t xml:space="preserve">aux </w:t>
            </w:r>
            <w:hyperlink r:id="rId13" w:history="1">
              <w:r w:rsidR="005A20AA" w:rsidRPr="00587DAC">
                <w:rPr>
                  <w:rStyle w:val="Hyperlink"/>
                  <w:lang w:val="fr-FR"/>
                </w:rPr>
                <w:t>attrib</w:t>
              </w:r>
              <w:r w:rsidR="005A20AA" w:rsidRPr="00587DAC">
                <w:rPr>
                  <w:rStyle w:val="Hyperlink"/>
                  <w:lang w:val="fr-FR"/>
                </w:rPr>
                <w:t>u</w:t>
              </w:r>
              <w:r w:rsidR="005A20AA" w:rsidRPr="00587DAC">
                <w:rPr>
                  <w:rStyle w:val="Hyperlink"/>
                  <w:lang w:val="fr-FR"/>
                </w:rPr>
                <w:t>tions</w:t>
              </w:r>
            </w:hyperlink>
            <w:r w:rsidR="005A20AA" w:rsidRPr="004B4DE5">
              <w:rPr>
                <w:lang w:val="fr-FR"/>
              </w:rPr>
              <w:t xml:space="preserve"> de la SERCOM figurant dans l</w:t>
            </w:r>
            <w:r w:rsidR="002B48AD">
              <w:rPr>
                <w:lang w:val="fr-FR"/>
              </w:rPr>
              <w:t>’</w:t>
            </w:r>
            <w:r w:rsidR="00C727D5" w:rsidRPr="00587DAC">
              <w:rPr>
                <w:lang w:val="fr-FR"/>
              </w:rPr>
              <w:t>annexe 1</w:t>
            </w:r>
            <w:r w:rsidR="00C727D5" w:rsidRPr="004B4DE5">
              <w:rPr>
                <w:lang w:val="fr-FR"/>
              </w:rPr>
              <w:t xml:space="preserve"> </w:t>
            </w:r>
            <w:r w:rsidR="005A20AA" w:rsidRPr="004B4DE5">
              <w:rPr>
                <w:lang w:val="fr-FR"/>
              </w:rPr>
              <w:t>de cette résolution</w:t>
            </w:r>
            <w:r w:rsidR="0016285B" w:rsidRPr="004B4DE5">
              <w:rPr>
                <w:lang w:val="fr-FR"/>
              </w:rPr>
              <w:t xml:space="preserve"> </w:t>
            </w:r>
            <w:r w:rsidR="005A20AA" w:rsidRPr="004B4DE5">
              <w:rPr>
                <w:lang w:val="fr-FR"/>
              </w:rPr>
              <w:t>ainsi qu</w:t>
            </w:r>
            <w:r w:rsidR="002B48AD">
              <w:rPr>
                <w:lang w:val="fr-FR"/>
              </w:rPr>
              <w:t>’</w:t>
            </w:r>
            <w:r w:rsidR="00954B06" w:rsidRPr="004B4DE5">
              <w:rPr>
                <w:lang w:val="fr-FR"/>
              </w:rPr>
              <w:t xml:space="preserve">au mandat du SG-URB figurant en annexe de </w:t>
            </w:r>
            <w:r w:rsidR="0016285B" w:rsidRPr="004B4DE5">
              <w:rPr>
                <w:lang w:val="fr-FR"/>
              </w:rPr>
              <w:t xml:space="preserve">la </w:t>
            </w:r>
            <w:hyperlink r:id="rId14" w:history="1">
              <w:r w:rsidR="0016285B" w:rsidRPr="004B4DE5">
                <w:rPr>
                  <w:rStyle w:val="Hyperlink"/>
                  <w:lang w:val="fr-FR"/>
                </w:rPr>
                <w:t xml:space="preserve">résolution 1 (SERCOM-1) </w:t>
              </w:r>
            </w:hyperlink>
            <w:r w:rsidR="00BB3894" w:rsidRPr="00BB3894">
              <w:rPr>
                <w:rStyle w:val="Hyperlink"/>
                <w:color w:val="auto"/>
                <w:lang w:val="en-CH"/>
              </w:rPr>
              <w:t>–</w:t>
            </w:r>
            <w:r w:rsidR="0016285B" w:rsidRPr="00BB3894">
              <w:rPr>
                <w:lang w:val="fr-FR"/>
              </w:rPr>
              <w:t xml:space="preserve"> </w:t>
            </w:r>
            <w:r w:rsidR="00D34270" w:rsidRPr="004B4DE5">
              <w:rPr>
                <w:lang w:val="fr-FR"/>
              </w:rPr>
              <w:t>Création de comités permanents et de groupes d</w:t>
            </w:r>
            <w:r w:rsidR="002B48AD">
              <w:rPr>
                <w:lang w:val="fr-FR"/>
              </w:rPr>
              <w:t>’</w:t>
            </w:r>
            <w:r w:rsidR="00D34270" w:rsidRPr="004B4DE5">
              <w:rPr>
                <w:lang w:val="fr-FR"/>
              </w:rPr>
              <w:t>étude relevant de la Commission des services et applications se rapportant au temps, au climat, à l</w:t>
            </w:r>
            <w:r w:rsidR="002B48AD">
              <w:rPr>
                <w:lang w:val="fr-FR"/>
              </w:rPr>
              <w:t>’</w:t>
            </w:r>
            <w:r w:rsidR="00D34270" w:rsidRPr="004B4DE5">
              <w:rPr>
                <w:lang w:val="fr-FR"/>
              </w:rPr>
              <w:t>eau et à l</w:t>
            </w:r>
            <w:r w:rsidR="002B48AD">
              <w:rPr>
                <w:lang w:val="fr-FR"/>
              </w:rPr>
              <w:t>’</w:t>
            </w:r>
            <w:r w:rsidR="00D34270" w:rsidRPr="004B4DE5">
              <w:rPr>
                <w:lang w:val="fr-FR"/>
              </w:rPr>
              <w:t>environnement (Commission des services)</w:t>
            </w:r>
            <w:r w:rsidR="0016285B" w:rsidRPr="004B4DE5">
              <w:rPr>
                <w:lang w:val="fr-FR"/>
              </w:rPr>
              <w:t xml:space="preserve">, </w:t>
            </w:r>
            <w:r w:rsidR="00954B06" w:rsidRPr="004B4DE5">
              <w:rPr>
                <w:lang w:val="fr-FR"/>
              </w:rPr>
              <w:t>et dont les alinéas b) et d)</w:t>
            </w:r>
            <w:r w:rsidR="00C679A4" w:rsidRPr="004B4DE5">
              <w:rPr>
                <w:lang w:val="fr-FR"/>
              </w:rPr>
              <w:t xml:space="preserve"> </w:t>
            </w:r>
            <w:r w:rsidR="0029207B">
              <w:rPr>
                <w:lang w:val="fr-FR"/>
              </w:rPr>
              <w:t xml:space="preserve">des résultats escomptés </w:t>
            </w:r>
            <w:r w:rsidR="00C679A4" w:rsidRPr="004B4DE5">
              <w:rPr>
                <w:lang w:val="fr-FR"/>
              </w:rPr>
              <w:t>portent sur l</w:t>
            </w:r>
            <w:r w:rsidR="002B48AD">
              <w:rPr>
                <w:lang w:val="fr-FR"/>
              </w:rPr>
              <w:t>’</w:t>
            </w:r>
            <w:r w:rsidR="00C679A4" w:rsidRPr="004B4DE5">
              <w:rPr>
                <w:lang w:val="fr-FR"/>
              </w:rPr>
              <w:t>élaboration de bonnes pratiques pour la mise en place de services urbains intégrés et l</w:t>
            </w:r>
            <w:r w:rsidR="002B48AD">
              <w:rPr>
                <w:lang w:val="fr-FR"/>
              </w:rPr>
              <w:t>’</w:t>
            </w:r>
            <w:r w:rsidR="00C679A4" w:rsidRPr="004B4DE5">
              <w:rPr>
                <w:lang w:val="fr-FR"/>
              </w:rPr>
              <w:t xml:space="preserve">alinéa </w:t>
            </w:r>
            <w:r w:rsidR="0016285B" w:rsidRPr="004B4DE5">
              <w:rPr>
                <w:lang w:val="fr-FR"/>
              </w:rPr>
              <w:t xml:space="preserve">e) </w:t>
            </w:r>
            <w:r w:rsidR="00C679A4" w:rsidRPr="004B4DE5">
              <w:rPr>
                <w:lang w:val="fr-FR"/>
              </w:rPr>
              <w:t xml:space="preserve">sur de bonnes pratiques </w:t>
            </w:r>
            <w:r w:rsidR="009976DE" w:rsidRPr="004B4DE5">
              <w:rPr>
                <w:lang w:val="fr-FR"/>
              </w:rPr>
              <w:t>pour définir des critères permettant d</w:t>
            </w:r>
            <w:r w:rsidR="002B48AD">
              <w:rPr>
                <w:lang w:val="fr-FR"/>
              </w:rPr>
              <w:t>’</w:t>
            </w:r>
            <w:r w:rsidR="009976DE" w:rsidRPr="004B4DE5">
              <w:rPr>
                <w:lang w:val="fr-FR"/>
              </w:rPr>
              <w:t>évaluer efficacement les</w:t>
            </w:r>
            <w:r w:rsidR="007479AC" w:rsidRPr="004B4DE5">
              <w:rPr>
                <w:lang w:val="fr-FR"/>
              </w:rPr>
              <w:t xml:space="preserve"> </w:t>
            </w:r>
            <w:r w:rsidR="00D40334">
              <w:rPr>
                <w:lang w:val="fr-FR"/>
              </w:rPr>
              <w:t>avantages</w:t>
            </w:r>
            <w:r w:rsidR="009976DE" w:rsidRPr="004B4DE5">
              <w:rPr>
                <w:lang w:val="fr-FR"/>
              </w:rPr>
              <w:t xml:space="preserve"> de services urbains donnés</w:t>
            </w:r>
          </w:p>
          <w:p w14:paraId="7D9D383D" w14:textId="177CC05B" w:rsidR="00025AEB" w:rsidRPr="004B4DE5" w:rsidRDefault="00025AEB" w:rsidP="004768A3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4B4DE5">
              <w:rPr>
                <w:b/>
                <w:bCs/>
                <w:lang w:val="fr-FR"/>
              </w:rPr>
              <w:t xml:space="preserve">Objectif stratégique </w:t>
            </w:r>
            <w:r w:rsidR="002066F1" w:rsidRPr="004B4DE5">
              <w:rPr>
                <w:b/>
                <w:bCs/>
                <w:lang w:val="fr-FR"/>
              </w:rPr>
              <w:t>20</w:t>
            </w:r>
            <w:r w:rsidR="00823E63" w:rsidRPr="004B4DE5">
              <w:rPr>
                <w:b/>
                <w:bCs/>
                <w:lang w:val="fr-FR"/>
              </w:rPr>
              <w:t>24-</w:t>
            </w:r>
            <w:r w:rsidR="002066F1" w:rsidRPr="004B4DE5">
              <w:rPr>
                <w:b/>
                <w:bCs/>
                <w:lang w:val="fr-FR"/>
              </w:rPr>
              <w:t>20</w:t>
            </w:r>
            <w:r w:rsidR="00823E63" w:rsidRPr="004B4DE5">
              <w:rPr>
                <w:b/>
                <w:bCs/>
                <w:lang w:val="fr-FR"/>
              </w:rPr>
              <w:t>27</w:t>
            </w:r>
            <w:r w:rsidRPr="004B4DE5">
              <w:rPr>
                <w:b/>
                <w:bCs/>
                <w:lang w:val="fr-FR"/>
              </w:rPr>
              <w:t xml:space="preserve">: </w:t>
            </w:r>
            <w:r w:rsidR="00FF79A3" w:rsidRPr="004B4DE5">
              <w:rPr>
                <w:lang w:val="fr-FR"/>
              </w:rPr>
              <w:t>1.4 Accroître la valeur des informations et services météorologiques d</w:t>
            </w:r>
            <w:r w:rsidR="002B48AD">
              <w:rPr>
                <w:lang w:val="fr-FR"/>
              </w:rPr>
              <w:t>’</w:t>
            </w:r>
            <w:r w:rsidR="00FF79A3" w:rsidRPr="004B4DE5">
              <w:rPr>
                <w:lang w:val="fr-FR"/>
              </w:rPr>
              <w:t>aide à la décision et innover dans ce domaine</w:t>
            </w:r>
          </w:p>
          <w:p w14:paraId="138383EF" w14:textId="3D570786" w:rsidR="00025AEB" w:rsidRPr="004B4DE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B4DE5">
              <w:rPr>
                <w:b/>
                <w:bCs/>
                <w:lang w:val="fr-FR"/>
              </w:rPr>
              <w:t>Incidence</w:t>
            </w:r>
            <w:r w:rsidR="00061E04" w:rsidRPr="004B4DE5">
              <w:rPr>
                <w:b/>
                <w:bCs/>
                <w:lang w:val="fr-FR"/>
              </w:rPr>
              <w:t>(</w:t>
            </w:r>
            <w:r w:rsidRPr="004B4DE5">
              <w:rPr>
                <w:b/>
                <w:bCs/>
                <w:lang w:val="fr-FR"/>
              </w:rPr>
              <w:t>s</w:t>
            </w:r>
            <w:r w:rsidR="00061E04" w:rsidRPr="004B4DE5">
              <w:rPr>
                <w:b/>
                <w:bCs/>
                <w:lang w:val="fr-FR"/>
              </w:rPr>
              <w:t>)</w:t>
            </w:r>
            <w:r w:rsidRPr="004B4DE5">
              <w:rPr>
                <w:b/>
                <w:bCs/>
                <w:lang w:val="fr-FR"/>
              </w:rPr>
              <w:t xml:space="preserve"> financière</w:t>
            </w:r>
            <w:r w:rsidR="00061E04" w:rsidRPr="004B4DE5">
              <w:rPr>
                <w:b/>
                <w:bCs/>
                <w:lang w:val="fr-FR"/>
              </w:rPr>
              <w:t>(</w:t>
            </w:r>
            <w:r w:rsidRPr="004B4DE5">
              <w:rPr>
                <w:b/>
                <w:bCs/>
                <w:lang w:val="fr-FR"/>
              </w:rPr>
              <w:t>s</w:t>
            </w:r>
            <w:r w:rsidR="00061E04" w:rsidRPr="004B4DE5">
              <w:rPr>
                <w:b/>
                <w:bCs/>
                <w:lang w:val="fr-FR"/>
              </w:rPr>
              <w:t>)</w:t>
            </w:r>
            <w:r w:rsidRPr="004B4DE5">
              <w:rPr>
                <w:b/>
                <w:bCs/>
                <w:lang w:val="fr-FR"/>
              </w:rPr>
              <w:t xml:space="preserve"> et administrative</w:t>
            </w:r>
            <w:r w:rsidR="00061E04" w:rsidRPr="004B4DE5">
              <w:rPr>
                <w:b/>
                <w:bCs/>
                <w:lang w:val="fr-FR"/>
              </w:rPr>
              <w:t>(</w:t>
            </w:r>
            <w:r w:rsidRPr="004B4DE5">
              <w:rPr>
                <w:b/>
                <w:bCs/>
                <w:lang w:val="fr-FR"/>
              </w:rPr>
              <w:t>s</w:t>
            </w:r>
            <w:r w:rsidR="00061E04" w:rsidRPr="004B4DE5">
              <w:rPr>
                <w:b/>
                <w:bCs/>
                <w:lang w:val="fr-FR"/>
              </w:rPr>
              <w:t>)</w:t>
            </w:r>
            <w:r w:rsidRPr="004B4DE5">
              <w:rPr>
                <w:b/>
                <w:bCs/>
                <w:lang w:val="fr-FR"/>
              </w:rPr>
              <w:t>:</w:t>
            </w:r>
            <w:r w:rsidRPr="004B4DE5">
              <w:rPr>
                <w:lang w:val="fr-FR"/>
              </w:rPr>
              <w:t xml:space="preserve"> </w:t>
            </w:r>
            <w:r w:rsidR="00A85A27" w:rsidRPr="004B4DE5">
              <w:rPr>
                <w:lang w:val="fr-FR"/>
              </w:rPr>
              <w:t>Dans les limites prévues dans le Plan stratégique et le Plan opérationnel 2024-2027</w:t>
            </w:r>
          </w:p>
          <w:p w14:paraId="37692065" w14:textId="26065DF2" w:rsidR="00025AEB" w:rsidRPr="004B4DE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B4DE5">
              <w:rPr>
                <w:b/>
                <w:bCs/>
                <w:lang w:val="fr-FR"/>
              </w:rPr>
              <w:t>Principaux responsables de la mise en œuvre:</w:t>
            </w:r>
            <w:r w:rsidRPr="004B4DE5">
              <w:rPr>
                <w:lang w:val="fr-FR"/>
              </w:rPr>
              <w:t xml:space="preserve"> </w:t>
            </w:r>
            <w:r w:rsidR="0059013E" w:rsidRPr="004B4DE5">
              <w:rPr>
                <w:lang w:val="fr-FR"/>
              </w:rPr>
              <w:t>SERCOM</w:t>
            </w:r>
          </w:p>
          <w:p w14:paraId="570CA1D9" w14:textId="4A543621" w:rsidR="00025AEB" w:rsidRPr="004B4DE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B4DE5">
              <w:rPr>
                <w:b/>
                <w:bCs/>
                <w:lang w:val="fr-FR"/>
              </w:rPr>
              <w:t>Calendrier:</w:t>
            </w:r>
            <w:r w:rsidRPr="004B4DE5">
              <w:rPr>
                <w:lang w:val="fr-FR"/>
              </w:rPr>
              <w:t xml:space="preserve"> </w:t>
            </w:r>
            <w:r w:rsidR="0059013E" w:rsidRPr="004B4DE5">
              <w:rPr>
                <w:lang w:val="fr-FR"/>
              </w:rPr>
              <w:t>2024</w:t>
            </w:r>
            <w:r w:rsidRPr="004B4DE5">
              <w:rPr>
                <w:lang w:val="fr-FR"/>
              </w:rPr>
              <w:t>–</w:t>
            </w:r>
            <w:r w:rsidR="0059013E" w:rsidRPr="004B4DE5">
              <w:rPr>
                <w:lang w:val="fr-FR"/>
              </w:rPr>
              <w:t>2027</w:t>
            </w:r>
          </w:p>
          <w:p w14:paraId="1AA9F5E6" w14:textId="0497FC13" w:rsidR="00025AEB" w:rsidRPr="004B4DE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B4DE5">
              <w:rPr>
                <w:b/>
                <w:bCs/>
                <w:lang w:val="fr-FR"/>
              </w:rPr>
              <w:t>Mesure</w:t>
            </w:r>
            <w:r w:rsidR="00061E04" w:rsidRPr="004B4DE5">
              <w:rPr>
                <w:b/>
                <w:bCs/>
                <w:lang w:val="fr-FR"/>
              </w:rPr>
              <w:t>(s)</w:t>
            </w:r>
            <w:r w:rsidRPr="004B4DE5">
              <w:rPr>
                <w:b/>
                <w:bCs/>
                <w:lang w:val="fr-FR"/>
              </w:rPr>
              <w:t xml:space="preserve"> attendue</w:t>
            </w:r>
            <w:r w:rsidR="00061E04" w:rsidRPr="004B4DE5">
              <w:rPr>
                <w:b/>
                <w:bCs/>
                <w:lang w:val="fr-FR"/>
              </w:rPr>
              <w:t>(s)</w:t>
            </w:r>
            <w:r w:rsidRPr="004B4DE5">
              <w:rPr>
                <w:b/>
                <w:bCs/>
                <w:lang w:val="fr-FR"/>
              </w:rPr>
              <w:t>:</w:t>
            </w:r>
            <w:r w:rsidRPr="004B4DE5">
              <w:rPr>
                <w:lang w:val="fr-FR"/>
              </w:rPr>
              <w:t xml:space="preserve"> </w:t>
            </w:r>
            <w:r w:rsidR="00B93309" w:rsidRPr="004B4DE5">
              <w:rPr>
                <w:lang w:val="fr-FR"/>
              </w:rPr>
              <w:t>Adopter les projets de décision 4.10/1 et 4.10/2 (SERCOM-3)</w:t>
            </w:r>
          </w:p>
          <w:p w14:paraId="054B39E5" w14:textId="77777777" w:rsidR="00025AEB" w:rsidRPr="004B4DE5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30368CEE" w14:textId="77777777" w:rsidR="00092CAE" w:rsidRPr="004B4DE5" w:rsidRDefault="00092CAE">
      <w:pPr>
        <w:tabs>
          <w:tab w:val="clear" w:pos="1134"/>
        </w:tabs>
        <w:jc w:val="left"/>
        <w:rPr>
          <w:lang w:val="fr-FR"/>
        </w:rPr>
      </w:pPr>
    </w:p>
    <w:p w14:paraId="37C94D45" w14:textId="77777777" w:rsidR="00331964" w:rsidRPr="004B4DE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4B4DE5">
        <w:rPr>
          <w:lang w:val="fr-FR"/>
        </w:rPr>
        <w:br w:type="page"/>
      </w:r>
    </w:p>
    <w:p w14:paraId="52CA0B59" w14:textId="3329B385" w:rsidR="00BA52F8" w:rsidRPr="004B4DE5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4B4DE5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</w:t>
      </w:r>
      <w:r w:rsidR="003019E0" w:rsidRPr="004B4DE5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>S</w:t>
      </w:r>
      <w:r w:rsidRPr="004B4DE5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 xml:space="preserve"> DE DÉCISION</w:t>
      </w:r>
    </w:p>
    <w:p w14:paraId="2C22340B" w14:textId="681A35A5" w:rsidR="0037222D" w:rsidRPr="004B4DE5" w:rsidRDefault="001D71D0" w:rsidP="0037222D">
      <w:pPr>
        <w:pStyle w:val="Heading2"/>
        <w:rPr>
          <w:lang w:val="fr-FR"/>
        </w:rPr>
      </w:pPr>
      <w:r w:rsidRPr="004B4DE5">
        <w:rPr>
          <w:lang w:val="fr-FR"/>
        </w:rPr>
        <w:t xml:space="preserve">Projet de décision </w:t>
      </w:r>
      <w:r w:rsidR="003A6DA1" w:rsidRPr="004B4DE5">
        <w:rPr>
          <w:lang w:val="fr-FR"/>
        </w:rPr>
        <w:t>4.10</w:t>
      </w:r>
      <w:r w:rsidRPr="004B4DE5">
        <w:rPr>
          <w:lang w:val="fr-FR"/>
        </w:rPr>
        <w:t xml:space="preserve">/1 </w:t>
      </w:r>
      <w:r w:rsidR="00F21B41" w:rsidRPr="004B4DE5">
        <w:rPr>
          <w:lang w:val="fr-FR"/>
        </w:rPr>
        <w:t>(SERCOM-</w:t>
      </w:r>
      <w:r w:rsidR="00250A6B" w:rsidRPr="004B4DE5">
        <w:rPr>
          <w:lang w:val="fr-FR"/>
        </w:rPr>
        <w:t>3</w:t>
      </w:r>
      <w:r w:rsidR="00F21B41" w:rsidRPr="004B4DE5">
        <w:rPr>
          <w:lang w:val="fr-FR"/>
        </w:rPr>
        <w:t>)</w:t>
      </w:r>
    </w:p>
    <w:p w14:paraId="37335440" w14:textId="1E37128A" w:rsidR="0093261F" w:rsidRPr="004B4DE5" w:rsidRDefault="00B73C08" w:rsidP="00B73C08">
      <w:pPr>
        <w:pStyle w:val="WMOBodyText"/>
        <w:jc w:val="center"/>
        <w:rPr>
          <w:b/>
          <w:bCs/>
          <w:lang w:val="fr-FR"/>
        </w:rPr>
      </w:pPr>
      <w:r w:rsidRPr="004B4DE5">
        <w:rPr>
          <w:b/>
          <w:bCs/>
          <w:lang w:val="fr-FR"/>
        </w:rPr>
        <w:t>Bonnes pratiques pour la mise en place de services urbains intégrés</w:t>
      </w:r>
    </w:p>
    <w:p w14:paraId="2F56E4A4" w14:textId="27689499" w:rsidR="00424D06" w:rsidRPr="004B4DE5" w:rsidRDefault="009A32AB" w:rsidP="00B73C08">
      <w:pPr>
        <w:pStyle w:val="WMOBodyText"/>
        <w:rPr>
          <w:b/>
          <w:bCs/>
          <w:lang w:val="fr-FR"/>
        </w:rPr>
      </w:pPr>
      <w:r w:rsidRPr="004B4DE5">
        <w:rPr>
          <w:b/>
          <w:bCs/>
          <w:lang w:val="fr-FR"/>
        </w:rPr>
        <w:t xml:space="preserve">La </w:t>
      </w:r>
      <w:r w:rsidR="00250A6B" w:rsidRPr="004B4DE5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B73C08" w:rsidRPr="004B4DE5">
        <w:rPr>
          <w:lang w:val="fr-FR"/>
        </w:rPr>
        <w:t xml:space="preserve">, </w:t>
      </w:r>
      <w:r w:rsidR="000172E3" w:rsidRPr="004B4DE5">
        <w:rPr>
          <w:lang w:val="fr-FR"/>
        </w:rPr>
        <w:t>notant l</w:t>
      </w:r>
      <w:r w:rsidR="002B48AD">
        <w:rPr>
          <w:lang w:val="fr-FR"/>
        </w:rPr>
        <w:t>’</w:t>
      </w:r>
      <w:r w:rsidR="000172E3" w:rsidRPr="004B4DE5">
        <w:rPr>
          <w:lang w:val="fr-FR"/>
        </w:rPr>
        <w:t>importance de bonnes pratiques pour la mise en place de services urbains intégrés aux fins de la prévention des catastrophes</w:t>
      </w:r>
      <w:r w:rsidR="00FB3F90">
        <w:rPr>
          <w:lang w:val="fr-FR"/>
        </w:rPr>
        <w:t>,</w:t>
      </w:r>
      <w:r w:rsidR="000172E3" w:rsidRPr="004B4DE5">
        <w:rPr>
          <w:lang w:val="fr-FR"/>
        </w:rPr>
        <w:t xml:space="preserve"> et ayant examiné les publications sur </w:t>
      </w:r>
      <w:r w:rsidR="00E41ABF">
        <w:rPr>
          <w:lang w:val="fr-FR"/>
        </w:rPr>
        <w:t>de tell</w:t>
      </w:r>
      <w:r w:rsidR="000172E3" w:rsidRPr="004B4DE5">
        <w:rPr>
          <w:lang w:val="fr-FR"/>
        </w:rPr>
        <w:t>es bonnes pratiques</w:t>
      </w:r>
      <w:r w:rsidR="00B73C08" w:rsidRPr="004B4DE5">
        <w:rPr>
          <w:lang w:val="fr-FR"/>
        </w:rPr>
        <w:t>,</w:t>
      </w:r>
      <w:r w:rsidR="00A35114" w:rsidRPr="004B4DE5">
        <w:rPr>
          <w:b/>
          <w:bCs/>
          <w:lang w:val="fr-FR"/>
        </w:rPr>
        <w:t xml:space="preserve"> </w:t>
      </w:r>
      <w:r w:rsidR="00250A6B" w:rsidRPr="004B4DE5">
        <w:rPr>
          <w:b/>
          <w:bCs/>
          <w:lang w:val="fr-FR"/>
        </w:rPr>
        <w:t>décide</w:t>
      </w:r>
      <w:r w:rsidR="00DD3B6A" w:rsidRPr="004B4DE5">
        <w:rPr>
          <w:b/>
          <w:bCs/>
          <w:lang w:val="fr-FR"/>
        </w:rPr>
        <w:t>:</w:t>
      </w:r>
      <w:r w:rsidR="00424D06" w:rsidRPr="004B4DE5">
        <w:rPr>
          <w:lang w:val="fr-FR"/>
        </w:rPr>
        <w:t xml:space="preserve"> </w:t>
      </w:r>
    </w:p>
    <w:p w14:paraId="338E349B" w14:textId="0666ED86" w:rsidR="00424D06" w:rsidRPr="004B4DE5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B4DE5">
        <w:rPr>
          <w:rFonts w:eastAsia="Times New Roman" w:cs="Times New Roman"/>
          <w:lang w:val="fr-FR" w:eastAsia="zh-TW"/>
        </w:rPr>
        <w:t>1)</w:t>
      </w:r>
      <w:r w:rsidRPr="004B4DE5">
        <w:rPr>
          <w:rFonts w:eastAsia="Times New Roman" w:cs="Times New Roman"/>
          <w:lang w:val="fr-FR" w:eastAsia="zh-TW"/>
        </w:rPr>
        <w:tab/>
      </w:r>
      <w:r w:rsidR="008F0D7A" w:rsidRPr="004B4DE5">
        <w:rPr>
          <w:rFonts w:eastAsia="Times New Roman" w:cs="Times New Roman"/>
          <w:lang w:val="fr-FR" w:eastAsia="zh-TW"/>
        </w:rPr>
        <w:t>D</w:t>
      </w:r>
      <w:r w:rsidR="002B48AD">
        <w:rPr>
          <w:rFonts w:eastAsia="Times New Roman" w:cs="Times New Roman"/>
          <w:lang w:val="fr-FR" w:eastAsia="zh-TW"/>
        </w:rPr>
        <w:t>’</w:t>
      </w:r>
      <w:r w:rsidR="008F0D7A" w:rsidRPr="004B4DE5">
        <w:rPr>
          <w:rFonts w:eastAsia="Times New Roman" w:cs="Times New Roman"/>
          <w:lang w:val="fr-FR" w:eastAsia="zh-TW"/>
        </w:rPr>
        <w:t>approuver les bonnes pratiques pour la mise en place de services urbains intégrés élaborées par le Groupe d</w:t>
      </w:r>
      <w:r w:rsidR="002B48AD">
        <w:rPr>
          <w:rFonts w:eastAsia="Times New Roman" w:cs="Times New Roman"/>
          <w:lang w:val="fr-FR" w:eastAsia="zh-TW"/>
        </w:rPr>
        <w:t>’</w:t>
      </w:r>
      <w:r w:rsidR="008F0D7A" w:rsidRPr="004B4DE5">
        <w:rPr>
          <w:rFonts w:eastAsia="Times New Roman" w:cs="Times New Roman"/>
          <w:lang w:val="fr-FR" w:eastAsia="zh-TW"/>
        </w:rPr>
        <w:t>étude des services urbains intégrés;</w:t>
      </w:r>
    </w:p>
    <w:p w14:paraId="7184EDA8" w14:textId="287621CA" w:rsidR="00424D06" w:rsidRPr="004B4DE5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B4DE5">
        <w:rPr>
          <w:rFonts w:eastAsia="Times New Roman" w:cs="Times New Roman"/>
          <w:lang w:val="fr-FR" w:eastAsia="zh-TW"/>
        </w:rPr>
        <w:t>2)</w:t>
      </w:r>
      <w:r w:rsidRPr="004B4DE5">
        <w:rPr>
          <w:rFonts w:eastAsia="Times New Roman" w:cs="Times New Roman"/>
          <w:lang w:val="fr-FR" w:eastAsia="zh-TW"/>
        </w:rPr>
        <w:tab/>
      </w:r>
      <w:r w:rsidR="0072309F" w:rsidRPr="004B4DE5">
        <w:rPr>
          <w:rFonts w:eastAsia="Times New Roman" w:cs="Times New Roman"/>
          <w:lang w:val="fr-FR" w:eastAsia="zh-TW"/>
        </w:rPr>
        <w:t>De prendre note des recommandations relatives à la nécessité que les Services météorologiques et hydrologiques nationaux améliorent le partage des connaissances, soutiennent la gestion des risques de catastrophe et renforcent la mobilisation des parties prenantes;</w:t>
      </w:r>
    </w:p>
    <w:p w14:paraId="22AD36DD" w14:textId="5B4986FA" w:rsidR="0072309F" w:rsidRPr="004B4DE5" w:rsidRDefault="0072309F" w:rsidP="0072309F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4B4DE5">
        <w:rPr>
          <w:lang w:val="fr-FR"/>
        </w:rPr>
        <w:t>3)</w:t>
      </w:r>
      <w:r w:rsidRPr="004B4DE5">
        <w:rPr>
          <w:lang w:val="fr-FR"/>
        </w:rPr>
        <w:tab/>
      </w:r>
      <w:r w:rsidR="00C864E5" w:rsidRPr="004B4DE5">
        <w:rPr>
          <w:lang w:val="fr-FR"/>
        </w:rPr>
        <w:t>De recommander au Conseil exécutif d</w:t>
      </w:r>
      <w:r w:rsidR="002B48AD">
        <w:rPr>
          <w:lang w:val="fr-FR"/>
        </w:rPr>
        <w:t>’</w:t>
      </w:r>
      <w:r w:rsidR="00C864E5" w:rsidRPr="004B4DE5">
        <w:rPr>
          <w:lang w:val="fr-FR"/>
        </w:rPr>
        <w:t>encourager les Membres de l</w:t>
      </w:r>
      <w:r w:rsidR="002B48AD">
        <w:rPr>
          <w:lang w:val="fr-FR"/>
        </w:rPr>
        <w:t>’</w:t>
      </w:r>
      <w:r w:rsidR="00C864E5" w:rsidRPr="004B4DE5">
        <w:rPr>
          <w:lang w:val="fr-FR"/>
        </w:rPr>
        <w:t xml:space="preserve">OMM à adopter les bonnes pratiques pour la mise en place de services urbains intégrés et à tenir compte de celles-ci </w:t>
      </w:r>
      <w:r w:rsidR="00D5781B">
        <w:rPr>
          <w:lang w:val="fr-FR"/>
        </w:rPr>
        <w:t>dans les efforts qu</w:t>
      </w:r>
      <w:r w:rsidR="002B48AD">
        <w:rPr>
          <w:lang w:val="fr-FR"/>
        </w:rPr>
        <w:t>’</w:t>
      </w:r>
      <w:r w:rsidR="00D5781B">
        <w:rPr>
          <w:lang w:val="fr-FR"/>
        </w:rPr>
        <w:t xml:space="preserve">ils déploient </w:t>
      </w:r>
      <w:r w:rsidR="00C864E5" w:rsidRPr="004B4DE5">
        <w:rPr>
          <w:lang w:val="fr-FR"/>
        </w:rPr>
        <w:t>pour améliorer la prestation de services en milieu urbain.</w:t>
      </w:r>
    </w:p>
    <w:p w14:paraId="713FA7B2" w14:textId="423DB910" w:rsidR="0037222D" w:rsidRPr="004B4DE5" w:rsidRDefault="005267B4" w:rsidP="005267B4">
      <w:pPr>
        <w:pStyle w:val="WMOBodyText"/>
        <w:rPr>
          <w:lang w:val="fr-FR"/>
        </w:rPr>
      </w:pPr>
      <w:r w:rsidRPr="004B4DE5">
        <w:rPr>
          <w:lang w:val="fr-FR"/>
        </w:rPr>
        <w:t xml:space="preserve">Voir le document </w:t>
      </w:r>
      <w:hyperlink r:id="rId15" w:history="1">
        <w:r w:rsidR="00417845" w:rsidRPr="004B4DE5">
          <w:rPr>
            <w:rStyle w:val="Hyperlink"/>
            <w:lang w:val="fr-FR"/>
          </w:rPr>
          <w:t>SERCOM-3/INF. 4.10(1)</w:t>
        </w:r>
      </w:hyperlink>
      <w:r w:rsidR="00D31EF9">
        <w:rPr>
          <w:rStyle w:val="Hyperlink"/>
          <w:lang w:val="fr-FR"/>
        </w:rPr>
        <w:t xml:space="preserve"> </w:t>
      </w:r>
      <w:r w:rsidR="00854ABB" w:rsidRPr="004B4DE5">
        <w:rPr>
          <w:lang w:val="fr-FR"/>
        </w:rPr>
        <w:t>pour de plus amples renseignements.</w:t>
      </w:r>
    </w:p>
    <w:p w14:paraId="32113BD8" w14:textId="77777777" w:rsidR="0037222D" w:rsidRPr="004B4DE5" w:rsidRDefault="0037222D" w:rsidP="0037222D">
      <w:pPr>
        <w:pStyle w:val="WMOBodyText"/>
        <w:rPr>
          <w:lang w:val="fr-FR"/>
        </w:rPr>
      </w:pPr>
      <w:r w:rsidRPr="004B4DE5">
        <w:rPr>
          <w:lang w:val="fr-FR"/>
        </w:rPr>
        <w:t>_______</w:t>
      </w:r>
    </w:p>
    <w:p w14:paraId="740B66D0" w14:textId="77777777" w:rsidR="00C05C85" w:rsidRPr="004B4DE5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B4DE5">
        <w:rPr>
          <w:rFonts w:eastAsia="Verdana" w:cs="Verdana"/>
          <w:lang w:val="fr-FR" w:eastAsia="zh-TW"/>
        </w:rPr>
        <w:t>Justification de la décision:</w:t>
      </w:r>
    </w:p>
    <w:p w14:paraId="5A31A1C3" w14:textId="70B38AA7" w:rsidR="003A6DA1" w:rsidRPr="004B4DE5" w:rsidRDefault="00607862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B4DE5">
        <w:rPr>
          <w:lang w:val="fr-FR"/>
        </w:rPr>
        <w:t xml:space="preserve">Les bonnes pratiques proposées pour la mise en </w:t>
      </w:r>
      <w:r w:rsidR="00D31EF9">
        <w:rPr>
          <w:lang w:val="fr-FR"/>
        </w:rPr>
        <w:t>place</w:t>
      </w:r>
      <w:r w:rsidRPr="004B4DE5">
        <w:rPr>
          <w:lang w:val="fr-FR"/>
        </w:rPr>
        <w:t xml:space="preserve"> de services urbains intégrés présentent une introduction aux arguments d</w:t>
      </w:r>
      <w:r w:rsidR="002B48AD">
        <w:rPr>
          <w:lang w:val="fr-FR"/>
        </w:rPr>
        <w:t>’</w:t>
      </w:r>
      <w:r w:rsidRPr="004B4DE5">
        <w:rPr>
          <w:lang w:val="fr-FR"/>
        </w:rPr>
        <w:t xml:space="preserve">ordre économique en faveur des services urbains intégrés. </w:t>
      </w:r>
      <w:r w:rsidR="00C76E6B">
        <w:rPr>
          <w:lang w:val="fr-FR"/>
        </w:rPr>
        <w:t>Elles</w:t>
      </w:r>
      <w:r w:rsidRPr="004B4DE5">
        <w:rPr>
          <w:lang w:val="fr-FR"/>
        </w:rPr>
        <w:t xml:space="preserve"> contiennent des orientations sur la </w:t>
      </w:r>
      <w:r w:rsidRPr="009642E5">
        <w:rPr>
          <w:lang w:val="fr-FR"/>
        </w:rPr>
        <w:t>mobilisation des parties prenantes et l</w:t>
      </w:r>
      <w:r w:rsidR="002B48AD">
        <w:rPr>
          <w:lang w:val="fr-FR"/>
        </w:rPr>
        <w:t>’</w:t>
      </w:r>
      <w:r w:rsidRPr="009642E5">
        <w:rPr>
          <w:lang w:val="fr-FR"/>
        </w:rPr>
        <w:t>infrastructure scientifique requise pour développer ces services</w:t>
      </w:r>
      <w:r w:rsidR="00C05C85" w:rsidRPr="009642E5">
        <w:rPr>
          <w:lang w:val="fr-FR"/>
        </w:rPr>
        <w:t xml:space="preserve">. </w:t>
      </w:r>
      <w:r w:rsidR="00262399" w:rsidRPr="009642E5">
        <w:rPr>
          <w:lang w:val="fr-FR"/>
        </w:rPr>
        <w:t xml:space="preserve">Elles proposent une méthodologie pour évaluer les </w:t>
      </w:r>
      <w:r w:rsidR="00B523C9" w:rsidRPr="009642E5">
        <w:rPr>
          <w:lang w:val="fr-FR"/>
        </w:rPr>
        <w:t>retombées</w:t>
      </w:r>
      <w:r w:rsidR="00262399" w:rsidRPr="009642E5">
        <w:rPr>
          <w:lang w:val="fr-FR"/>
        </w:rPr>
        <w:t xml:space="preserve"> et les services</w:t>
      </w:r>
      <w:r w:rsidR="000C4768" w:rsidRPr="009642E5">
        <w:rPr>
          <w:lang w:val="fr-FR"/>
        </w:rPr>
        <w:t xml:space="preserve"> offerts</w:t>
      </w:r>
      <w:r w:rsidR="00262399" w:rsidRPr="009642E5">
        <w:rPr>
          <w:lang w:val="fr-FR"/>
        </w:rPr>
        <w:t>, contiennent une analyse des services urbains intégrés sous l</w:t>
      </w:r>
      <w:r w:rsidR="002B48AD">
        <w:rPr>
          <w:lang w:val="fr-FR"/>
        </w:rPr>
        <w:t>’</w:t>
      </w:r>
      <w:r w:rsidR="00262399" w:rsidRPr="009642E5">
        <w:rPr>
          <w:lang w:val="fr-FR"/>
        </w:rPr>
        <w:t>angle de la recherche, du développement et du renforcement des capacités</w:t>
      </w:r>
      <w:r w:rsidR="000035F9">
        <w:rPr>
          <w:lang w:val="fr-FR"/>
        </w:rPr>
        <w:t>,</w:t>
      </w:r>
      <w:r w:rsidR="00262399" w:rsidRPr="009642E5">
        <w:rPr>
          <w:lang w:val="fr-FR"/>
        </w:rPr>
        <w:t xml:space="preserve"> et s</w:t>
      </w:r>
      <w:r w:rsidR="002B48AD">
        <w:rPr>
          <w:lang w:val="fr-FR"/>
        </w:rPr>
        <w:t>’</w:t>
      </w:r>
      <w:r w:rsidR="00262399" w:rsidRPr="009642E5">
        <w:rPr>
          <w:lang w:val="fr-FR"/>
        </w:rPr>
        <w:t>achèvent par trois séries de recommandations visant à améliorer le partage des connaissances, la gestion des risques de catastrophe</w:t>
      </w:r>
      <w:r w:rsidR="00262399" w:rsidRPr="004B4DE5">
        <w:rPr>
          <w:lang w:val="fr-FR"/>
        </w:rPr>
        <w:t xml:space="preserve"> et la mobilisation des parties prenantes</w:t>
      </w:r>
      <w:r w:rsidR="00C05C85" w:rsidRPr="004B4DE5">
        <w:rPr>
          <w:lang w:val="fr-FR"/>
        </w:rPr>
        <w:t xml:space="preserve">. </w:t>
      </w:r>
      <w:r w:rsidR="00870AD6" w:rsidRPr="004B4DE5">
        <w:rPr>
          <w:lang w:val="fr-FR"/>
        </w:rPr>
        <w:t>Cet ensemble de bonnes pratiques complète d</w:t>
      </w:r>
      <w:r w:rsidR="002B48AD">
        <w:rPr>
          <w:lang w:val="fr-FR"/>
        </w:rPr>
        <w:t>’</w:t>
      </w:r>
      <w:r w:rsidR="00870AD6" w:rsidRPr="004B4DE5">
        <w:rPr>
          <w:lang w:val="fr-FR"/>
        </w:rPr>
        <w:t>autres guides et lignes directrices de l</w:t>
      </w:r>
      <w:r w:rsidR="002B48AD">
        <w:rPr>
          <w:lang w:val="fr-FR"/>
        </w:rPr>
        <w:t>’</w:t>
      </w:r>
      <w:r w:rsidR="00870AD6" w:rsidRPr="004B4DE5">
        <w:rPr>
          <w:lang w:val="fr-FR"/>
        </w:rPr>
        <w:t xml:space="preserve">OMM </w:t>
      </w:r>
      <w:r w:rsidR="009642E5">
        <w:rPr>
          <w:lang w:val="fr-FR"/>
        </w:rPr>
        <w:t>sur le sujet</w:t>
      </w:r>
      <w:r w:rsidR="00870AD6" w:rsidRPr="004B4DE5">
        <w:rPr>
          <w:lang w:val="fr-FR"/>
        </w:rPr>
        <w:t xml:space="preserve">, dont le </w:t>
      </w:r>
      <w:hyperlink r:id="rId16" w:history="1">
        <w:r w:rsidR="00C05C85" w:rsidRPr="004B4DE5">
          <w:rPr>
            <w:rStyle w:val="Hyperlink"/>
            <w:i/>
            <w:iCs/>
            <w:lang w:val="fr-FR"/>
          </w:rPr>
          <w:t>Guidance on Integrated Urban Hydrometeorological, Climate and Environmental Services – Volume I: Concept and Methodology</w:t>
        </w:r>
      </w:hyperlink>
      <w:r w:rsidR="00C05C85" w:rsidRPr="004B4DE5">
        <w:rPr>
          <w:lang w:val="fr-FR"/>
        </w:rPr>
        <w:t xml:space="preserve"> (WMO-No. 1234)</w:t>
      </w:r>
      <w:r w:rsidR="00814108" w:rsidRPr="004B4DE5">
        <w:rPr>
          <w:lang w:val="fr-FR"/>
        </w:rPr>
        <w:t xml:space="preserve"> (</w:t>
      </w:r>
      <w:r w:rsidR="00443FF1" w:rsidRPr="004B4DE5">
        <w:rPr>
          <w:lang w:val="fr-FR"/>
        </w:rPr>
        <w:t>Guide sur les services hydrométéorologiques, climatologiques et environnementaux intégrés destinés aux zones urbaines – Volume I: Concept et méthodologie</w:t>
      </w:r>
      <w:r w:rsidR="00814108" w:rsidRPr="004B4DE5">
        <w:rPr>
          <w:lang w:val="fr-FR"/>
        </w:rPr>
        <w:t>)</w:t>
      </w:r>
      <w:r w:rsidR="00C05C85" w:rsidRPr="004B4DE5">
        <w:rPr>
          <w:lang w:val="fr-FR"/>
        </w:rPr>
        <w:t>,</w:t>
      </w:r>
      <w:r w:rsidR="00814108" w:rsidRPr="004B4DE5">
        <w:rPr>
          <w:lang w:val="fr-FR"/>
        </w:rPr>
        <w:t xml:space="preserve"> le</w:t>
      </w:r>
      <w:r w:rsidR="00C05C85" w:rsidRPr="004B4DE5">
        <w:rPr>
          <w:lang w:val="fr-FR"/>
        </w:rPr>
        <w:t xml:space="preserve"> </w:t>
      </w:r>
      <w:hyperlink r:id="rId17" w:history="1">
        <w:r w:rsidR="00C05C85" w:rsidRPr="004B4DE5">
          <w:rPr>
            <w:rStyle w:val="Hyperlink"/>
            <w:i/>
            <w:iCs/>
            <w:lang w:val="fr-FR"/>
          </w:rPr>
          <w:t>Guidance on Integrated Urban Hydrometeorological, Climate and Environment Services - Volume II: Demonstration Cities</w:t>
        </w:r>
      </w:hyperlink>
      <w:r w:rsidR="00C05C85" w:rsidRPr="004B4DE5">
        <w:rPr>
          <w:lang w:val="fr-FR"/>
        </w:rPr>
        <w:t xml:space="preserve"> (WMO-No. 1234)</w:t>
      </w:r>
      <w:r w:rsidR="003621FC" w:rsidRPr="004B4DE5">
        <w:rPr>
          <w:lang w:val="fr-FR"/>
        </w:rPr>
        <w:t xml:space="preserve"> (</w:t>
      </w:r>
      <w:r w:rsidR="006B1B1A" w:rsidRPr="004B4DE5">
        <w:rPr>
          <w:lang w:val="fr-FR"/>
        </w:rPr>
        <w:t>Guide sur les services hydrométéorologiques, climatologiques et environnementaux intégrés destinés aux zones urbaines – Volume II: Villes pilotes</w:t>
      </w:r>
      <w:r w:rsidR="003621FC" w:rsidRPr="004B4DE5">
        <w:rPr>
          <w:lang w:val="fr-FR"/>
        </w:rPr>
        <w:t>)</w:t>
      </w:r>
      <w:r w:rsidR="00C05C85" w:rsidRPr="004B4DE5">
        <w:rPr>
          <w:lang w:val="fr-FR"/>
        </w:rPr>
        <w:t xml:space="preserve">, </w:t>
      </w:r>
      <w:r w:rsidR="003621FC" w:rsidRPr="004B4DE5">
        <w:rPr>
          <w:lang w:val="fr-FR"/>
        </w:rPr>
        <w:t xml:space="preserve">les </w:t>
      </w:r>
      <w:hyperlink r:id="rId18" w:history="1">
        <w:r w:rsidR="00C05C85" w:rsidRPr="004B4DE5">
          <w:rPr>
            <w:rStyle w:val="Hyperlink"/>
            <w:i/>
            <w:iCs/>
            <w:lang w:val="fr-FR"/>
          </w:rPr>
          <w:t xml:space="preserve">Training Materials and Best Practices for Chemical Weather/Air Quality </w:t>
        </w:r>
        <w:proofErr w:type="spellStart"/>
        <w:r w:rsidR="00C05C85" w:rsidRPr="004B4DE5">
          <w:rPr>
            <w:rStyle w:val="Hyperlink"/>
            <w:i/>
            <w:iCs/>
            <w:lang w:val="fr-FR"/>
          </w:rPr>
          <w:t>Forecastin</w:t>
        </w:r>
      </w:hyperlink>
      <w:r w:rsidR="00C05C85" w:rsidRPr="004B4DE5">
        <w:rPr>
          <w:lang w:val="fr-FR"/>
        </w:rPr>
        <w:t>g</w:t>
      </w:r>
      <w:proofErr w:type="spellEnd"/>
      <w:r w:rsidR="00C05C85" w:rsidRPr="004B4DE5">
        <w:rPr>
          <w:lang w:val="fr-FR"/>
        </w:rPr>
        <w:t xml:space="preserve"> (WMO</w:t>
      </w:r>
      <w:r w:rsidR="002B48AD">
        <w:rPr>
          <w:lang w:val="en-CH"/>
        </w:rPr>
        <w:t> </w:t>
      </w:r>
      <w:r w:rsidR="00C05C85" w:rsidRPr="004B4DE5">
        <w:rPr>
          <w:lang w:val="fr-FR"/>
        </w:rPr>
        <w:t>ETR</w:t>
      </w:r>
      <w:r w:rsidR="00952434">
        <w:rPr>
          <w:lang w:val="fr-FR"/>
        </w:rPr>
        <w:noBreakHyphen/>
      </w:r>
      <w:r w:rsidR="00C05C85" w:rsidRPr="004B4DE5">
        <w:rPr>
          <w:lang w:val="fr-FR"/>
        </w:rPr>
        <w:t>No. 26)</w:t>
      </w:r>
      <w:r w:rsidR="003621FC" w:rsidRPr="004B4DE5">
        <w:rPr>
          <w:lang w:val="fr-FR"/>
        </w:rPr>
        <w:t xml:space="preserve"> (</w:t>
      </w:r>
      <w:r w:rsidR="006B1B1A" w:rsidRPr="004B4DE5">
        <w:rPr>
          <w:lang w:val="fr-FR"/>
        </w:rPr>
        <w:t>Supports de formation et meilleures pratiques en matière de prévisions relatives à la composition chimique de l</w:t>
      </w:r>
      <w:r w:rsidR="002B48AD">
        <w:rPr>
          <w:lang w:val="fr-FR"/>
        </w:rPr>
        <w:t>’</w:t>
      </w:r>
      <w:r w:rsidR="006B1B1A" w:rsidRPr="004B4DE5">
        <w:rPr>
          <w:lang w:val="fr-FR"/>
        </w:rPr>
        <w:t>atmosphère/qualité de l</w:t>
      </w:r>
      <w:r w:rsidR="002B48AD">
        <w:rPr>
          <w:lang w:val="fr-FR"/>
        </w:rPr>
        <w:t>’</w:t>
      </w:r>
      <w:r w:rsidR="006B1B1A" w:rsidRPr="004B4DE5">
        <w:rPr>
          <w:lang w:val="fr-FR"/>
        </w:rPr>
        <w:t>air</w:t>
      </w:r>
      <w:r w:rsidR="003621FC" w:rsidRPr="004B4DE5">
        <w:rPr>
          <w:lang w:val="fr-FR"/>
        </w:rPr>
        <w:t>) et les</w:t>
      </w:r>
      <w:r w:rsidR="00C05C85" w:rsidRPr="004B4DE5">
        <w:rPr>
          <w:lang w:val="fr-FR"/>
        </w:rPr>
        <w:t xml:space="preserve"> </w:t>
      </w:r>
      <w:hyperlink r:id="rId19" w:history="1">
        <w:r w:rsidR="00C05C85" w:rsidRPr="004B4DE5">
          <w:rPr>
            <w:rStyle w:val="Hyperlink"/>
            <w:i/>
            <w:iCs/>
            <w:lang w:val="fr-FR"/>
          </w:rPr>
          <w:t>Good practices on high-resolution modelling for Integrated Urban Services</w:t>
        </w:r>
      </w:hyperlink>
      <w:r w:rsidR="00C05C85" w:rsidRPr="004B4DE5">
        <w:rPr>
          <w:lang w:val="fr-FR"/>
        </w:rPr>
        <w:t xml:space="preserve"> (WMO-No. 1313)</w:t>
      </w:r>
      <w:r w:rsidR="003621FC" w:rsidRPr="004B4DE5">
        <w:rPr>
          <w:lang w:val="fr-FR"/>
        </w:rPr>
        <w:t xml:space="preserve"> (</w:t>
      </w:r>
      <w:r w:rsidR="0022172E" w:rsidRPr="004B4DE5">
        <w:rPr>
          <w:lang w:val="fr-FR"/>
        </w:rPr>
        <w:t>Bonnes pratiques en matière de modélisation haute résolution pour les services urbains intégrés</w:t>
      </w:r>
      <w:r w:rsidR="003621FC" w:rsidRPr="004B4DE5">
        <w:rPr>
          <w:lang w:val="fr-FR"/>
        </w:rPr>
        <w:t>)</w:t>
      </w:r>
      <w:r w:rsidR="00D81F06" w:rsidRPr="004B4DE5">
        <w:rPr>
          <w:lang w:val="fr-FR"/>
        </w:rPr>
        <w:t>.</w:t>
      </w:r>
      <w:r w:rsidR="0022172E" w:rsidRPr="004B4DE5">
        <w:rPr>
          <w:rFonts w:eastAsia="Verdana" w:cs="Verdana"/>
          <w:lang w:val="fr-FR" w:eastAsia="zh-TW"/>
        </w:rPr>
        <w:t xml:space="preserve"> </w:t>
      </w:r>
      <w:r w:rsidR="003A6DA1" w:rsidRPr="004B4DE5">
        <w:rPr>
          <w:rFonts w:eastAsia="Verdana" w:cs="Verdana"/>
          <w:lang w:val="fr-FR" w:eastAsia="zh-TW"/>
        </w:rPr>
        <w:br w:type="page"/>
      </w:r>
    </w:p>
    <w:p w14:paraId="1915D3DA" w14:textId="362912D1" w:rsidR="003A6DA1" w:rsidRPr="004B4DE5" w:rsidRDefault="003A6DA1" w:rsidP="003A6DA1">
      <w:pPr>
        <w:pStyle w:val="Heading2"/>
        <w:rPr>
          <w:lang w:val="fr-FR"/>
        </w:rPr>
      </w:pPr>
      <w:r w:rsidRPr="004B4DE5">
        <w:rPr>
          <w:lang w:val="fr-FR"/>
        </w:rPr>
        <w:lastRenderedPageBreak/>
        <w:t>Projet de décision 4.10/2 (SERCOM-3)</w:t>
      </w:r>
    </w:p>
    <w:p w14:paraId="756D1F85" w14:textId="2922A4E0" w:rsidR="003A6DA1" w:rsidRPr="004B4DE5" w:rsidRDefault="00B523C9" w:rsidP="003A6DA1">
      <w:pPr>
        <w:pStyle w:val="WMOBodyText"/>
        <w:rPr>
          <w:b/>
          <w:bCs/>
          <w:lang w:val="fr-FR"/>
        </w:rPr>
      </w:pPr>
      <w:r w:rsidRPr="004B4DE5">
        <w:rPr>
          <w:b/>
          <w:bCs/>
          <w:lang w:val="fr-FR"/>
        </w:rPr>
        <w:t xml:space="preserve">Bonnes pratiques pour </w:t>
      </w:r>
      <w:r w:rsidR="00981ADE" w:rsidRPr="004B4DE5">
        <w:rPr>
          <w:b/>
          <w:bCs/>
          <w:lang w:val="fr-FR"/>
        </w:rPr>
        <w:t>l</w:t>
      </w:r>
      <w:r w:rsidR="002B48AD">
        <w:rPr>
          <w:b/>
          <w:bCs/>
          <w:lang w:val="fr-FR"/>
        </w:rPr>
        <w:t>’</w:t>
      </w:r>
      <w:r w:rsidRPr="004B4DE5">
        <w:rPr>
          <w:b/>
          <w:bCs/>
          <w:lang w:val="fr-FR"/>
        </w:rPr>
        <w:t>évalu</w:t>
      </w:r>
      <w:r w:rsidR="00981ADE" w:rsidRPr="004B4DE5">
        <w:rPr>
          <w:b/>
          <w:bCs/>
          <w:lang w:val="fr-FR"/>
        </w:rPr>
        <w:t>ation</w:t>
      </w:r>
      <w:r w:rsidRPr="004B4DE5">
        <w:rPr>
          <w:b/>
          <w:bCs/>
          <w:lang w:val="fr-FR"/>
        </w:rPr>
        <w:t xml:space="preserve"> </w:t>
      </w:r>
      <w:r w:rsidR="00981ADE" w:rsidRPr="004B4DE5">
        <w:rPr>
          <w:b/>
          <w:bCs/>
          <w:lang w:val="fr-FR"/>
        </w:rPr>
        <w:t>d</w:t>
      </w:r>
      <w:r w:rsidR="0022044F" w:rsidRPr="004B4DE5">
        <w:rPr>
          <w:b/>
          <w:bCs/>
          <w:lang w:val="fr-FR"/>
        </w:rPr>
        <w:t xml:space="preserve">es coûts et </w:t>
      </w:r>
      <w:r w:rsidR="00981ADE" w:rsidRPr="004B4DE5">
        <w:rPr>
          <w:b/>
          <w:bCs/>
          <w:lang w:val="fr-FR"/>
        </w:rPr>
        <w:t>d</w:t>
      </w:r>
      <w:r w:rsidR="0022044F" w:rsidRPr="004B4DE5">
        <w:rPr>
          <w:b/>
          <w:bCs/>
          <w:lang w:val="fr-FR"/>
        </w:rPr>
        <w:t xml:space="preserve">es avantages </w:t>
      </w:r>
      <w:r w:rsidR="002E54FF" w:rsidRPr="004B4DE5">
        <w:rPr>
          <w:b/>
          <w:bCs/>
          <w:lang w:val="fr-FR"/>
        </w:rPr>
        <w:t>des</w:t>
      </w:r>
      <w:r w:rsidRPr="004B4DE5">
        <w:rPr>
          <w:b/>
          <w:bCs/>
          <w:lang w:val="fr-FR"/>
        </w:rPr>
        <w:t xml:space="preserve"> services urbains </w:t>
      </w:r>
      <w:r w:rsidR="002E54FF" w:rsidRPr="004B4DE5">
        <w:rPr>
          <w:b/>
          <w:bCs/>
          <w:lang w:val="fr-FR"/>
        </w:rPr>
        <w:t>intégrés sur le plan organisationnel et socio-économique</w:t>
      </w:r>
    </w:p>
    <w:p w14:paraId="765F1C89" w14:textId="33FEE9F6" w:rsidR="003A6DA1" w:rsidRPr="004B4DE5" w:rsidRDefault="003A6DA1" w:rsidP="003A6DA1">
      <w:pPr>
        <w:pStyle w:val="WMOBodyText"/>
        <w:rPr>
          <w:lang w:val="fr-FR"/>
        </w:rPr>
      </w:pPr>
      <w:r w:rsidRPr="004B4DE5">
        <w:rPr>
          <w:b/>
          <w:bCs/>
          <w:lang w:val="fr-FR"/>
        </w:rPr>
        <w:t>La Commission des services et applications météorologiques, climatologiques, hydrologiques, maritimes et environnementaux</w:t>
      </w:r>
      <w:r w:rsidR="002B23D4" w:rsidRPr="004B4DE5">
        <w:rPr>
          <w:lang w:val="fr-FR"/>
        </w:rPr>
        <w:t>,</w:t>
      </w:r>
      <w:r w:rsidRPr="003A12B6">
        <w:rPr>
          <w:lang w:val="fr-FR"/>
        </w:rPr>
        <w:t xml:space="preserve"> </w:t>
      </w:r>
      <w:r w:rsidR="002B23D4" w:rsidRPr="004B4DE5">
        <w:rPr>
          <w:lang w:val="fr-FR"/>
        </w:rPr>
        <w:t>notant l</w:t>
      </w:r>
      <w:r w:rsidR="002B48AD">
        <w:rPr>
          <w:lang w:val="fr-FR"/>
        </w:rPr>
        <w:t>’</w:t>
      </w:r>
      <w:r w:rsidR="002B23D4" w:rsidRPr="004B4DE5">
        <w:rPr>
          <w:lang w:val="fr-FR"/>
        </w:rPr>
        <w:t>importance de bonnes pratiques pour l</w:t>
      </w:r>
      <w:r w:rsidR="002B48AD">
        <w:rPr>
          <w:lang w:val="fr-FR"/>
        </w:rPr>
        <w:t>’</w:t>
      </w:r>
      <w:r w:rsidR="002B23D4" w:rsidRPr="004B4DE5">
        <w:rPr>
          <w:lang w:val="fr-FR"/>
        </w:rPr>
        <w:t>évaluation des coûts et des avantages des services urbains intégrés sur le plan organisationnel et socio-économique</w:t>
      </w:r>
      <w:r w:rsidR="00981ADE" w:rsidRPr="004B4DE5">
        <w:rPr>
          <w:lang w:val="fr-FR"/>
        </w:rPr>
        <w:t>,</w:t>
      </w:r>
      <w:r w:rsidR="002B23D4" w:rsidRPr="004B4DE5">
        <w:rPr>
          <w:lang w:val="fr-FR"/>
        </w:rPr>
        <w:t xml:space="preserve"> et ayant examiné </w:t>
      </w:r>
      <w:r w:rsidR="00981ADE" w:rsidRPr="004B4DE5">
        <w:rPr>
          <w:lang w:val="fr-FR"/>
        </w:rPr>
        <w:t>de bonnes pratiques en la matière</w:t>
      </w:r>
      <w:r w:rsidR="002B23D4" w:rsidRPr="004B4DE5">
        <w:rPr>
          <w:lang w:val="fr-FR"/>
        </w:rPr>
        <w:t>,</w:t>
      </w:r>
      <w:r w:rsidR="002B23D4" w:rsidRPr="003A1156">
        <w:rPr>
          <w:lang w:val="fr-FR"/>
        </w:rPr>
        <w:t xml:space="preserve"> </w:t>
      </w:r>
      <w:r w:rsidR="002B23D4" w:rsidRPr="004B4DE5">
        <w:rPr>
          <w:b/>
          <w:bCs/>
          <w:lang w:val="fr-FR"/>
        </w:rPr>
        <w:t>décide</w:t>
      </w:r>
      <w:r w:rsidR="00981ADE" w:rsidRPr="004B4DE5">
        <w:rPr>
          <w:b/>
          <w:bCs/>
          <w:lang w:val="fr-FR"/>
        </w:rPr>
        <w:t>:</w:t>
      </w:r>
    </w:p>
    <w:p w14:paraId="48EE7D7E" w14:textId="6B098FFE" w:rsidR="00981ADE" w:rsidRPr="004B4DE5" w:rsidRDefault="00981ADE" w:rsidP="00981ADE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B4DE5">
        <w:rPr>
          <w:rFonts w:eastAsia="Times New Roman" w:cs="Times New Roman"/>
          <w:lang w:val="fr-FR" w:eastAsia="zh-TW"/>
        </w:rPr>
        <w:t>1)</w:t>
      </w:r>
      <w:r w:rsidRPr="004B4DE5">
        <w:rPr>
          <w:rFonts w:eastAsia="Times New Roman" w:cs="Times New Roman"/>
          <w:lang w:val="fr-FR" w:eastAsia="zh-TW"/>
        </w:rPr>
        <w:tab/>
        <w:t>D</w:t>
      </w:r>
      <w:r w:rsidR="002B48AD">
        <w:rPr>
          <w:rFonts w:eastAsia="Times New Roman" w:cs="Times New Roman"/>
          <w:lang w:val="fr-FR" w:eastAsia="zh-TW"/>
        </w:rPr>
        <w:t>’</w:t>
      </w:r>
      <w:r w:rsidRPr="004B4DE5">
        <w:rPr>
          <w:rFonts w:eastAsia="Times New Roman" w:cs="Times New Roman"/>
          <w:lang w:val="fr-FR" w:eastAsia="zh-TW"/>
        </w:rPr>
        <w:t>approuver les bonnes pratiques pour l</w:t>
      </w:r>
      <w:r w:rsidR="002B48AD">
        <w:rPr>
          <w:rFonts w:eastAsia="Times New Roman" w:cs="Times New Roman"/>
          <w:lang w:val="fr-FR" w:eastAsia="zh-TW"/>
        </w:rPr>
        <w:t>’</w:t>
      </w:r>
      <w:r w:rsidRPr="004B4DE5">
        <w:rPr>
          <w:rFonts w:eastAsia="Times New Roman" w:cs="Times New Roman"/>
          <w:lang w:val="fr-FR" w:eastAsia="zh-TW"/>
        </w:rPr>
        <w:t>évaluation des coûts et des avantages des services urbains intégrés sur le plan organisationnel et socio-économique</w:t>
      </w:r>
      <w:r w:rsidR="00BB43FE" w:rsidRPr="004B4DE5">
        <w:rPr>
          <w:rFonts w:eastAsia="Times New Roman" w:cs="Times New Roman"/>
          <w:lang w:val="fr-FR" w:eastAsia="zh-TW"/>
        </w:rPr>
        <w:t>,</w:t>
      </w:r>
      <w:r w:rsidRPr="004B4DE5">
        <w:rPr>
          <w:rFonts w:eastAsia="Times New Roman" w:cs="Times New Roman"/>
          <w:lang w:val="fr-FR" w:eastAsia="zh-TW"/>
        </w:rPr>
        <w:t xml:space="preserve"> élaborées par le Groupe d</w:t>
      </w:r>
      <w:r w:rsidR="002B48AD">
        <w:rPr>
          <w:rFonts w:eastAsia="Times New Roman" w:cs="Times New Roman"/>
          <w:lang w:val="fr-FR" w:eastAsia="zh-TW"/>
        </w:rPr>
        <w:t>’</w:t>
      </w:r>
      <w:r w:rsidRPr="004B4DE5">
        <w:rPr>
          <w:rFonts w:eastAsia="Times New Roman" w:cs="Times New Roman"/>
          <w:lang w:val="fr-FR" w:eastAsia="zh-TW"/>
        </w:rPr>
        <w:t>étude des services urbains intégrés;</w:t>
      </w:r>
    </w:p>
    <w:p w14:paraId="0051224B" w14:textId="59074758" w:rsidR="00981ADE" w:rsidRPr="00595E5A" w:rsidRDefault="00981ADE" w:rsidP="00981ADE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B4DE5">
        <w:rPr>
          <w:rFonts w:eastAsia="Times New Roman" w:cs="Times New Roman"/>
          <w:lang w:val="fr-FR" w:eastAsia="zh-TW"/>
        </w:rPr>
        <w:t>2)</w:t>
      </w:r>
      <w:r w:rsidRPr="004B4DE5">
        <w:rPr>
          <w:rFonts w:eastAsia="Times New Roman" w:cs="Times New Roman"/>
          <w:lang w:val="fr-FR" w:eastAsia="zh-TW"/>
        </w:rPr>
        <w:tab/>
        <w:t xml:space="preserve">De prendre note des recommandations relatives à la nécessité que les Services météorologiques et hydrologiques nationaux </w:t>
      </w:r>
      <w:r w:rsidR="004A6415" w:rsidRPr="00595E5A">
        <w:rPr>
          <w:rFonts w:eastAsia="Times New Roman" w:cs="Times New Roman"/>
          <w:lang w:val="fr-FR" w:eastAsia="zh-TW"/>
        </w:rPr>
        <w:t xml:space="preserve">procèdent à une analyse </w:t>
      </w:r>
      <w:r w:rsidR="00053A00" w:rsidRPr="00595E5A">
        <w:rPr>
          <w:rFonts w:eastAsia="Times New Roman" w:cs="Times New Roman"/>
          <w:lang w:val="fr-FR" w:eastAsia="zh-TW"/>
        </w:rPr>
        <w:t>coûts-avantages</w:t>
      </w:r>
      <w:r w:rsidR="004A6415" w:rsidRPr="00595E5A">
        <w:rPr>
          <w:rFonts w:eastAsia="Times New Roman" w:cs="Times New Roman"/>
          <w:lang w:val="fr-FR" w:eastAsia="zh-TW"/>
        </w:rPr>
        <w:t xml:space="preserve"> </w:t>
      </w:r>
      <w:r w:rsidR="005441B4" w:rsidRPr="00595E5A">
        <w:rPr>
          <w:rFonts w:eastAsia="Times New Roman" w:cs="Times New Roman"/>
          <w:lang w:val="fr-FR" w:eastAsia="zh-TW"/>
        </w:rPr>
        <w:t xml:space="preserve">des services urbains intégrés </w:t>
      </w:r>
      <w:r w:rsidR="004A6415" w:rsidRPr="00595E5A">
        <w:rPr>
          <w:rFonts w:eastAsia="Times New Roman" w:cs="Times New Roman"/>
          <w:lang w:val="fr-FR" w:eastAsia="zh-TW"/>
        </w:rPr>
        <w:t xml:space="preserve">et </w:t>
      </w:r>
      <w:r w:rsidR="00AF1419" w:rsidRPr="00595E5A">
        <w:rPr>
          <w:rFonts w:eastAsia="Times New Roman" w:cs="Times New Roman"/>
          <w:lang w:val="fr-FR" w:eastAsia="zh-TW"/>
        </w:rPr>
        <w:t>à l</w:t>
      </w:r>
      <w:r w:rsidR="002B48AD">
        <w:rPr>
          <w:rFonts w:eastAsia="Times New Roman" w:cs="Times New Roman"/>
          <w:lang w:val="fr-FR" w:eastAsia="zh-TW"/>
        </w:rPr>
        <w:t>’</w:t>
      </w:r>
      <w:r w:rsidR="00FA30EC" w:rsidRPr="00595E5A">
        <w:rPr>
          <w:rFonts w:eastAsia="Times New Roman" w:cs="Times New Roman"/>
          <w:lang w:val="fr-FR" w:eastAsia="zh-TW"/>
        </w:rPr>
        <w:t>a</w:t>
      </w:r>
      <w:r w:rsidR="00D048A1" w:rsidRPr="00595E5A">
        <w:rPr>
          <w:rFonts w:eastAsia="Times New Roman" w:cs="Times New Roman"/>
          <w:lang w:val="fr-FR" w:eastAsia="zh-TW"/>
        </w:rPr>
        <w:t>doption</w:t>
      </w:r>
      <w:r w:rsidR="00FA30EC" w:rsidRPr="00595E5A">
        <w:rPr>
          <w:rFonts w:eastAsia="Times New Roman" w:cs="Times New Roman"/>
          <w:lang w:val="fr-FR" w:eastAsia="zh-TW"/>
        </w:rPr>
        <w:t xml:space="preserve"> </w:t>
      </w:r>
      <w:r w:rsidR="00AF1419" w:rsidRPr="00595E5A">
        <w:rPr>
          <w:rFonts w:eastAsia="Times New Roman" w:cs="Times New Roman"/>
          <w:lang w:val="fr-FR" w:eastAsia="zh-TW"/>
        </w:rPr>
        <w:t xml:space="preserve">de paramètres </w:t>
      </w:r>
      <w:r w:rsidR="005E5DAD" w:rsidRPr="00595E5A">
        <w:rPr>
          <w:rFonts w:eastAsia="Times New Roman" w:cs="Times New Roman"/>
          <w:lang w:val="fr-FR" w:eastAsia="zh-TW"/>
        </w:rPr>
        <w:t>d</w:t>
      </w:r>
      <w:r w:rsidR="002B48AD">
        <w:rPr>
          <w:rFonts w:eastAsia="Times New Roman" w:cs="Times New Roman"/>
          <w:lang w:val="fr-FR" w:eastAsia="zh-TW"/>
        </w:rPr>
        <w:t>’</w:t>
      </w:r>
      <w:r w:rsidR="005E5DAD" w:rsidRPr="00595E5A">
        <w:rPr>
          <w:rFonts w:eastAsia="Times New Roman" w:cs="Times New Roman"/>
          <w:lang w:val="fr-FR" w:eastAsia="zh-TW"/>
        </w:rPr>
        <w:t xml:space="preserve">estimation de la valeur </w:t>
      </w:r>
      <w:r w:rsidR="004A6415" w:rsidRPr="00595E5A">
        <w:rPr>
          <w:rFonts w:eastAsia="Times New Roman" w:cs="Times New Roman"/>
          <w:lang w:val="fr-FR" w:eastAsia="zh-TW"/>
        </w:rPr>
        <w:t>de</w:t>
      </w:r>
      <w:r w:rsidR="005441B4" w:rsidRPr="00595E5A">
        <w:rPr>
          <w:rFonts w:eastAsia="Times New Roman" w:cs="Times New Roman"/>
          <w:lang w:val="fr-FR" w:eastAsia="zh-TW"/>
        </w:rPr>
        <w:t xml:space="preserve"> ce</w:t>
      </w:r>
      <w:r w:rsidR="004A6415" w:rsidRPr="00595E5A">
        <w:rPr>
          <w:rFonts w:eastAsia="Times New Roman" w:cs="Times New Roman"/>
          <w:lang w:val="fr-FR" w:eastAsia="zh-TW"/>
        </w:rPr>
        <w:t>s services</w:t>
      </w:r>
      <w:r w:rsidRPr="00595E5A">
        <w:rPr>
          <w:rFonts w:eastAsia="Times New Roman" w:cs="Times New Roman"/>
          <w:lang w:val="fr-FR" w:eastAsia="zh-TW"/>
        </w:rPr>
        <w:t>;</w:t>
      </w:r>
    </w:p>
    <w:p w14:paraId="439D50B7" w14:textId="7C6C428D" w:rsidR="00981ADE" w:rsidRPr="004B4DE5" w:rsidRDefault="00981ADE" w:rsidP="00981ADE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595E5A">
        <w:rPr>
          <w:lang w:val="fr-FR"/>
        </w:rPr>
        <w:t>3)</w:t>
      </w:r>
      <w:r w:rsidRPr="00595E5A">
        <w:rPr>
          <w:lang w:val="fr-FR"/>
        </w:rPr>
        <w:tab/>
        <w:t>De recommander au Conseil exécutif d</w:t>
      </w:r>
      <w:r w:rsidR="002B48AD">
        <w:rPr>
          <w:lang w:val="fr-FR"/>
        </w:rPr>
        <w:t>’</w:t>
      </w:r>
      <w:r w:rsidRPr="00595E5A">
        <w:rPr>
          <w:lang w:val="fr-FR"/>
        </w:rPr>
        <w:t>encourager les Membres de l</w:t>
      </w:r>
      <w:r w:rsidR="002B48AD">
        <w:rPr>
          <w:lang w:val="fr-FR"/>
        </w:rPr>
        <w:t>’</w:t>
      </w:r>
      <w:r w:rsidRPr="00595E5A">
        <w:rPr>
          <w:lang w:val="fr-FR"/>
        </w:rPr>
        <w:t xml:space="preserve">OMM à </w:t>
      </w:r>
      <w:r w:rsidR="00923A81" w:rsidRPr="00595E5A">
        <w:rPr>
          <w:lang w:val="fr-FR"/>
        </w:rPr>
        <w:t>utiliser</w:t>
      </w:r>
      <w:r w:rsidRPr="00595E5A">
        <w:rPr>
          <w:lang w:val="fr-FR"/>
        </w:rPr>
        <w:t xml:space="preserve"> </w:t>
      </w:r>
      <w:r w:rsidR="00923A81" w:rsidRPr="00595E5A">
        <w:rPr>
          <w:lang w:val="fr-FR"/>
        </w:rPr>
        <w:t xml:space="preserve">de </w:t>
      </w:r>
      <w:r w:rsidRPr="00595E5A">
        <w:rPr>
          <w:lang w:val="fr-FR"/>
        </w:rPr>
        <w:t xml:space="preserve">bonnes pratiques pour </w:t>
      </w:r>
      <w:r w:rsidR="00923A81" w:rsidRPr="00595E5A">
        <w:rPr>
          <w:rFonts w:eastAsia="Times New Roman" w:cs="Times New Roman"/>
          <w:lang w:val="fr-FR" w:eastAsia="zh-TW"/>
        </w:rPr>
        <w:t>l</w:t>
      </w:r>
      <w:r w:rsidR="002B48AD">
        <w:rPr>
          <w:rFonts w:eastAsia="Times New Roman" w:cs="Times New Roman"/>
          <w:lang w:val="fr-FR" w:eastAsia="zh-TW"/>
        </w:rPr>
        <w:t>’</w:t>
      </w:r>
      <w:r w:rsidR="00923A81" w:rsidRPr="00595E5A">
        <w:rPr>
          <w:rFonts w:eastAsia="Times New Roman" w:cs="Times New Roman"/>
          <w:lang w:val="fr-FR" w:eastAsia="zh-TW"/>
        </w:rPr>
        <w:t>évaluation des coûts et des</w:t>
      </w:r>
      <w:r w:rsidR="00923A81" w:rsidRPr="004B4DE5">
        <w:rPr>
          <w:rFonts w:eastAsia="Times New Roman" w:cs="Times New Roman"/>
          <w:lang w:val="fr-FR" w:eastAsia="zh-TW"/>
        </w:rPr>
        <w:t xml:space="preserve"> avantages des services urbains intégrés sur le plan organisationnel et socio-économique</w:t>
      </w:r>
      <w:r w:rsidR="00923A81" w:rsidRPr="004B4DE5">
        <w:rPr>
          <w:lang w:val="fr-FR"/>
        </w:rPr>
        <w:t xml:space="preserve"> afin d</w:t>
      </w:r>
      <w:r w:rsidR="002B48AD">
        <w:rPr>
          <w:lang w:val="fr-FR"/>
        </w:rPr>
        <w:t>’</w:t>
      </w:r>
      <w:r w:rsidR="006923BD" w:rsidRPr="004B4DE5">
        <w:rPr>
          <w:lang w:val="fr-FR"/>
        </w:rPr>
        <w:t xml:space="preserve">orienter </w:t>
      </w:r>
      <w:r w:rsidR="00923A81" w:rsidRPr="004B4DE5">
        <w:rPr>
          <w:lang w:val="fr-FR"/>
        </w:rPr>
        <w:t>les efforts qu</w:t>
      </w:r>
      <w:r w:rsidR="002B48AD">
        <w:rPr>
          <w:lang w:val="fr-FR"/>
        </w:rPr>
        <w:t>’</w:t>
      </w:r>
      <w:r w:rsidR="00923A81" w:rsidRPr="004B4DE5">
        <w:rPr>
          <w:lang w:val="fr-FR"/>
        </w:rPr>
        <w:t>ils déplo</w:t>
      </w:r>
      <w:r w:rsidR="00D3095D" w:rsidRPr="004B4DE5">
        <w:rPr>
          <w:lang w:val="fr-FR"/>
        </w:rPr>
        <w:t>i</w:t>
      </w:r>
      <w:r w:rsidR="00923A81" w:rsidRPr="004B4DE5">
        <w:rPr>
          <w:lang w:val="fr-FR"/>
        </w:rPr>
        <w:t xml:space="preserve">ent pour </w:t>
      </w:r>
      <w:r w:rsidR="00304311" w:rsidRPr="004B4DE5">
        <w:rPr>
          <w:lang w:val="fr-FR"/>
        </w:rPr>
        <w:t xml:space="preserve">offrir </w:t>
      </w:r>
      <w:r w:rsidRPr="004B4DE5">
        <w:rPr>
          <w:lang w:val="fr-FR"/>
        </w:rPr>
        <w:t>de</w:t>
      </w:r>
      <w:r w:rsidR="00304311" w:rsidRPr="004B4DE5">
        <w:rPr>
          <w:lang w:val="fr-FR"/>
        </w:rPr>
        <w:t>s</w:t>
      </w:r>
      <w:r w:rsidRPr="004B4DE5">
        <w:rPr>
          <w:lang w:val="fr-FR"/>
        </w:rPr>
        <w:t xml:space="preserve"> services en milieu urbain</w:t>
      </w:r>
      <w:r w:rsidR="00304311" w:rsidRPr="004B4DE5">
        <w:rPr>
          <w:lang w:val="fr-FR"/>
        </w:rPr>
        <w:t xml:space="preserve"> et les améliorer</w:t>
      </w:r>
      <w:r w:rsidRPr="004B4DE5">
        <w:rPr>
          <w:lang w:val="fr-FR"/>
        </w:rPr>
        <w:t>.</w:t>
      </w:r>
    </w:p>
    <w:p w14:paraId="5655B10B" w14:textId="071942D2" w:rsidR="003A6DA1" w:rsidRPr="004B4DE5" w:rsidRDefault="003A6DA1" w:rsidP="003A6DA1">
      <w:pPr>
        <w:pStyle w:val="WMOBodyText"/>
        <w:rPr>
          <w:lang w:val="fr-FR"/>
        </w:rPr>
      </w:pPr>
      <w:r w:rsidRPr="004B4DE5">
        <w:rPr>
          <w:lang w:val="fr-FR"/>
        </w:rPr>
        <w:t xml:space="preserve">Voir le document </w:t>
      </w:r>
      <w:r w:rsidR="00F27D87">
        <w:fldChar w:fldCharType="begin"/>
      </w:r>
      <w:r w:rsidR="005C2A05" w:rsidRPr="005C2A05">
        <w:rPr>
          <w:lang w:val="fr-FR"/>
        </w:rPr>
        <w:instrText>HYPERLINK "https://meetings.wmo.int/SERCOM-3/_layouts/15/WopiFrame.aspx?sourcedoc=%7b8EACBB6E-4D2D-483A-9C49-53B6A29964C0%7d&amp;file=SERCOM-3-INF04-10(2)-ASSESSING-COSTS-AND-BENEFITS-OF-IUS_fr-MT.docx&amp;action=default"</w:instrText>
      </w:r>
      <w:r w:rsidR="00F27D87">
        <w:fldChar w:fldCharType="separate"/>
      </w:r>
      <w:r w:rsidR="00BE6BF0" w:rsidRPr="004B4DE5">
        <w:rPr>
          <w:rStyle w:val="Hyperlink"/>
          <w:lang w:val="fr-FR"/>
        </w:rPr>
        <w:t>SERCOM-3/INF. 4.10(2)</w:t>
      </w:r>
      <w:r w:rsidR="00F27D87">
        <w:rPr>
          <w:rStyle w:val="Hyperlink"/>
          <w:lang w:val="fr-FR"/>
        </w:rPr>
        <w:fldChar w:fldCharType="end"/>
      </w:r>
      <w:r w:rsidRPr="004B4DE5">
        <w:rPr>
          <w:rStyle w:val="Hyperlink"/>
          <w:lang w:val="fr-FR"/>
        </w:rPr>
        <w:t xml:space="preserve"> </w:t>
      </w:r>
      <w:r w:rsidRPr="004B4DE5">
        <w:rPr>
          <w:lang w:val="fr-FR"/>
        </w:rPr>
        <w:t>pour de plus amples renseignements.</w:t>
      </w:r>
    </w:p>
    <w:p w14:paraId="3075C951" w14:textId="77777777" w:rsidR="003A6DA1" w:rsidRPr="004B4DE5" w:rsidRDefault="003A6DA1" w:rsidP="003A6DA1">
      <w:pPr>
        <w:pStyle w:val="WMOBodyText"/>
        <w:rPr>
          <w:lang w:val="fr-FR"/>
        </w:rPr>
      </w:pPr>
      <w:r w:rsidRPr="004B4DE5">
        <w:rPr>
          <w:lang w:val="fr-FR"/>
        </w:rPr>
        <w:t>_______</w:t>
      </w:r>
    </w:p>
    <w:p w14:paraId="005321EA" w14:textId="77777777" w:rsidR="00D81F06" w:rsidRPr="004B4DE5" w:rsidRDefault="003A6DA1" w:rsidP="003A6DA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B4DE5">
        <w:rPr>
          <w:rFonts w:eastAsia="Verdana" w:cs="Verdana"/>
          <w:lang w:val="fr-FR" w:eastAsia="zh-TW"/>
        </w:rPr>
        <w:t>Justification de la décision:</w:t>
      </w:r>
    </w:p>
    <w:p w14:paraId="31B8E57E" w14:textId="60E57C84" w:rsidR="003A6DA1" w:rsidRPr="004B4DE5" w:rsidRDefault="006923BD" w:rsidP="003A6DA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B4DE5">
        <w:rPr>
          <w:rFonts w:eastAsia="Times New Roman" w:cs="Times New Roman"/>
          <w:lang w:val="fr-FR" w:eastAsia="zh-TW"/>
        </w:rPr>
        <w:t>L</w:t>
      </w:r>
      <w:r w:rsidR="002B48AD">
        <w:rPr>
          <w:rFonts w:eastAsia="Times New Roman" w:cs="Times New Roman"/>
          <w:lang w:val="fr-FR" w:eastAsia="zh-TW"/>
        </w:rPr>
        <w:t>’</w:t>
      </w:r>
      <w:r w:rsidR="003743CB" w:rsidRPr="004B4DE5">
        <w:rPr>
          <w:rFonts w:eastAsia="Times New Roman" w:cs="Times New Roman"/>
          <w:lang w:val="fr-FR" w:eastAsia="zh-TW"/>
        </w:rPr>
        <w:t>évaluation des coûts et des avantages des services urbains intégrés sur le plan organisationnel et socio-économique</w:t>
      </w:r>
      <w:r w:rsidR="003743CB" w:rsidRPr="004B4DE5">
        <w:rPr>
          <w:lang w:val="fr-FR"/>
        </w:rPr>
        <w:t xml:space="preserve"> </w:t>
      </w:r>
      <w:r w:rsidR="00081A2A" w:rsidRPr="004B4DE5">
        <w:rPr>
          <w:lang w:val="fr-FR"/>
        </w:rPr>
        <w:t xml:space="preserve">soutient une démarche reposant sur la valeur </w:t>
      </w:r>
      <w:r w:rsidR="00BE7BB2" w:rsidRPr="004B4DE5">
        <w:rPr>
          <w:lang w:val="fr-FR"/>
        </w:rPr>
        <w:t xml:space="preserve">aux fins du </w:t>
      </w:r>
      <w:r w:rsidR="0079231A" w:rsidRPr="004B4DE5">
        <w:rPr>
          <w:lang w:val="fr-FR"/>
        </w:rPr>
        <w:t>développement de services météorologiques, climatologiques, hydrologiques, maritimes et environnementaux en milieu urbain</w:t>
      </w:r>
      <w:r w:rsidR="00D81F06" w:rsidRPr="004B4DE5">
        <w:rPr>
          <w:lang w:val="fr-FR"/>
        </w:rPr>
        <w:t xml:space="preserve">. </w:t>
      </w:r>
      <w:r w:rsidR="00620D11" w:rsidRPr="004B4DE5">
        <w:rPr>
          <w:lang w:val="fr-FR"/>
        </w:rPr>
        <w:t>Les bonnes pratiques correspondantes commencent par une vue d</w:t>
      </w:r>
      <w:r w:rsidR="002B48AD">
        <w:rPr>
          <w:lang w:val="fr-FR"/>
        </w:rPr>
        <w:t>’</w:t>
      </w:r>
      <w:r w:rsidR="00620D11" w:rsidRPr="004B4DE5">
        <w:rPr>
          <w:lang w:val="fr-FR"/>
        </w:rPr>
        <w:t xml:space="preserve">ensemble des facteurs économiques et </w:t>
      </w:r>
      <w:r w:rsidR="00B302A7" w:rsidRPr="004B4DE5">
        <w:rPr>
          <w:lang w:val="fr-FR"/>
        </w:rPr>
        <w:t xml:space="preserve">de réglementation </w:t>
      </w:r>
      <w:r w:rsidR="00620D11" w:rsidRPr="004B4DE5">
        <w:rPr>
          <w:lang w:val="fr-FR"/>
        </w:rPr>
        <w:t xml:space="preserve">requis pour comprendre </w:t>
      </w:r>
      <w:r w:rsidR="006241F6" w:rsidRPr="004B4DE5">
        <w:rPr>
          <w:lang w:val="fr-FR"/>
        </w:rPr>
        <w:t xml:space="preserve">les </w:t>
      </w:r>
      <w:r w:rsidR="00292E7E">
        <w:rPr>
          <w:lang w:val="fr-FR"/>
        </w:rPr>
        <w:t xml:space="preserve">coûts et les </w:t>
      </w:r>
      <w:r w:rsidR="006241F6" w:rsidRPr="004B4DE5">
        <w:rPr>
          <w:rFonts w:eastAsia="Times New Roman" w:cs="Times New Roman"/>
          <w:lang w:val="fr-FR" w:eastAsia="zh-TW"/>
        </w:rPr>
        <w:t xml:space="preserve">avantages </w:t>
      </w:r>
      <w:r w:rsidR="00292E7E" w:rsidRPr="004B4DE5">
        <w:rPr>
          <w:rFonts w:eastAsia="Times New Roman" w:cs="Times New Roman"/>
          <w:lang w:val="fr-FR" w:eastAsia="zh-TW"/>
        </w:rPr>
        <w:t>socio-économique</w:t>
      </w:r>
      <w:r w:rsidR="00292E7E">
        <w:rPr>
          <w:rFonts w:eastAsia="Times New Roman" w:cs="Times New Roman"/>
          <w:lang w:val="fr-FR" w:eastAsia="zh-TW"/>
        </w:rPr>
        <w:t xml:space="preserve">s </w:t>
      </w:r>
      <w:r w:rsidR="001A3456">
        <w:rPr>
          <w:rFonts w:eastAsia="Times New Roman" w:cs="Times New Roman"/>
          <w:lang w:val="fr-FR" w:eastAsia="zh-TW"/>
        </w:rPr>
        <w:t>des</w:t>
      </w:r>
      <w:r w:rsidR="00292E7E">
        <w:rPr>
          <w:rFonts w:eastAsia="Times New Roman" w:cs="Times New Roman"/>
          <w:lang w:val="fr-FR" w:eastAsia="zh-TW"/>
        </w:rPr>
        <w:t xml:space="preserve"> </w:t>
      </w:r>
      <w:r w:rsidR="00292E7E" w:rsidRPr="004B4DE5">
        <w:rPr>
          <w:rFonts w:eastAsia="Times New Roman" w:cs="Times New Roman"/>
          <w:lang w:val="fr-FR" w:eastAsia="zh-TW"/>
        </w:rPr>
        <w:t>services urbains intégrés</w:t>
      </w:r>
      <w:r w:rsidR="00B302A7" w:rsidRPr="004B4DE5">
        <w:rPr>
          <w:rFonts w:eastAsia="Times New Roman" w:cs="Times New Roman"/>
          <w:lang w:val="fr-FR" w:eastAsia="zh-TW"/>
        </w:rPr>
        <w:t>.</w:t>
      </w:r>
      <w:r w:rsidR="006241F6" w:rsidRPr="004B4DE5">
        <w:rPr>
          <w:lang w:val="fr-FR"/>
        </w:rPr>
        <w:t xml:space="preserve"> </w:t>
      </w:r>
      <w:r w:rsidR="003618A2" w:rsidRPr="004B4DE5">
        <w:rPr>
          <w:lang w:val="fr-FR"/>
        </w:rPr>
        <w:t>Elles présentent les groupes d</w:t>
      </w:r>
      <w:r w:rsidR="002B48AD">
        <w:rPr>
          <w:lang w:val="fr-FR"/>
        </w:rPr>
        <w:t>’</w:t>
      </w:r>
      <w:r w:rsidR="003618A2" w:rsidRPr="004B4DE5">
        <w:rPr>
          <w:lang w:val="fr-FR"/>
        </w:rPr>
        <w:t xml:space="preserve">usagers et </w:t>
      </w:r>
      <w:r w:rsidR="00C54C50" w:rsidRPr="004B4DE5">
        <w:rPr>
          <w:lang w:val="fr-FR"/>
        </w:rPr>
        <w:t xml:space="preserve">les profils de demande </w:t>
      </w:r>
      <w:r w:rsidR="00905B8A" w:rsidRPr="004B4DE5">
        <w:rPr>
          <w:lang w:val="fr-FR"/>
        </w:rPr>
        <w:t xml:space="preserve">relatifs à </w:t>
      </w:r>
      <w:r w:rsidR="008C7ACD" w:rsidRPr="004B4DE5">
        <w:rPr>
          <w:lang w:val="fr-FR"/>
        </w:rPr>
        <w:t>la mise en place d</w:t>
      </w:r>
      <w:r w:rsidR="002B48AD">
        <w:rPr>
          <w:lang w:val="fr-FR"/>
        </w:rPr>
        <w:t>’</w:t>
      </w:r>
      <w:r w:rsidR="008C7ACD" w:rsidRPr="004B4DE5">
        <w:rPr>
          <w:lang w:val="fr-FR"/>
        </w:rPr>
        <w:t>un écosystème de services urbains intégrés</w:t>
      </w:r>
      <w:r w:rsidR="00D81F06" w:rsidRPr="004B4DE5">
        <w:rPr>
          <w:lang w:val="fr-FR"/>
        </w:rPr>
        <w:t xml:space="preserve">. </w:t>
      </w:r>
      <w:r w:rsidR="00905B8A" w:rsidRPr="004B4DE5">
        <w:rPr>
          <w:lang w:val="fr-FR"/>
        </w:rPr>
        <w:t xml:space="preserve">Elles indiquent comment établir les avantages socio-économiques </w:t>
      </w:r>
      <w:r w:rsidR="00406797" w:rsidRPr="004B4DE5">
        <w:rPr>
          <w:lang w:val="fr-FR"/>
        </w:rPr>
        <w:t>de ces services</w:t>
      </w:r>
      <w:r w:rsidR="00572519">
        <w:rPr>
          <w:lang w:val="fr-FR"/>
        </w:rPr>
        <w:t xml:space="preserve"> </w:t>
      </w:r>
      <w:r w:rsidR="00145E3A">
        <w:rPr>
          <w:lang w:val="fr-FR"/>
        </w:rPr>
        <w:t>ainsi qu</w:t>
      </w:r>
      <w:r w:rsidR="002B48AD">
        <w:rPr>
          <w:lang w:val="fr-FR"/>
        </w:rPr>
        <w:t>’</w:t>
      </w:r>
      <w:r w:rsidR="0048756C">
        <w:rPr>
          <w:lang w:val="fr-FR"/>
        </w:rPr>
        <w:t>effectuer</w:t>
      </w:r>
      <w:r w:rsidR="00406797" w:rsidRPr="004B4DE5">
        <w:rPr>
          <w:lang w:val="fr-FR"/>
        </w:rPr>
        <w:t xml:space="preserve"> une analyse coûts-bénéfices et </w:t>
      </w:r>
      <w:r w:rsidR="00946936">
        <w:rPr>
          <w:lang w:val="fr-FR"/>
        </w:rPr>
        <w:t xml:space="preserve">adopter </w:t>
      </w:r>
      <w:r w:rsidR="004B4DE5" w:rsidRPr="004B4DE5">
        <w:rPr>
          <w:rFonts w:eastAsia="Times New Roman" w:cs="Times New Roman"/>
          <w:lang w:val="fr-FR" w:eastAsia="zh-TW"/>
        </w:rPr>
        <w:t>de</w:t>
      </w:r>
      <w:r w:rsidR="00946936">
        <w:rPr>
          <w:rFonts w:eastAsia="Times New Roman" w:cs="Times New Roman"/>
          <w:lang w:val="fr-FR" w:eastAsia="zh-TW"/>
        </w:rPr>
        <w:t>s</w:t>
      </w:r>
      <w:r w:rsidR="004B4DE5" w:rsidRPr="004B4DE5">
        <w:rPr>
          <w:rFonts w:eastAsia="Times New Roman" w:cs="Times New Roman"/>
          <w:lang w:val="fr-FR" w:eastAsia="zh-TW"/>
        </w:rPr>
        <w:t xml:space="preserve"> paramètres d</w:t>
      </w:r>
      <w:r w:rsidR="002B48AD">
        <w:rPr>
          <w:rFonts w:eastAsia="Times New Roman" w:cs="Times New Roman"/>
          <w:lang w:val="fr-FR" w:eastAsia="zh-TW"/>
        </w:rPr>
        <w:t>’</w:t>
      </w:r>
      <w:r w:rsidR="004B4DE5" w:rsidRPr="004B4DE5">
        <w:rPr>
          <w:rFonts w:eastAsia="Times New Roman" w:cs="Times New Roman"/>
          <w:lang w:val="fr-FR" w:eastAsia="zh-TW"/>
        </w:rPr>
        <w:t xml:space="preserve">estimation de </w:t>
      </w:r>
      <w:r w:rsidR="00946936">
        <w:rPr>
          <w:rFonts w:eastAsia="Times New Roman" w:cs="Times New Roman"/>
          <w:lang w:val="fr-FR" w:eastAsia="zh-TW"/>
        </w:rPr>
        <w:t>la</w:t>
      </w:r>
      <w:r w:rsidR="004B4DE5" w:rsidRPr="004B4DE5">
        <w:rPr>
          <w:rFonts w:eastAsia="Times New Roman" w:cs="Times New Roman"/>
          <w:lang w:val="fr-FR" w:eastAsia="zh-TW"/>
        </w:rPr>
        <w:t xml:space="preserve"> valeur</w:t>
      </w:r>
      <w:r w:rsidR="00145E3A" w:rsidRPr="00145E3A">
        <w:rPr>
          <w:lang w:val="fr-FR"/>
        </w:rPr>
        <w:t xml:space="preserve"> </w:t>
      </w:r>
      <w:r w:rsidR="00145E3A">
        <w:rPr>
          <w:lang w:val="fr-FR"/>
        </w:rPr>
        <w:t>dans ce domaine</w:t>
      </w:r>
      <w:r w:rsidR="00D81F06" w:rsidRPr="004B4DE5">
        <w:rPr>
          <w:lang w:val="fr-FR"/>
        </w:rPr>
        <w:t>. Cet ensemble de bonnes pratiques complète d</w:t>
      </w:r>
      <w:r w:rsidR="002B48AD">
        <w:rPr>
          <w:lang w:val="fr-FR"/>
        </w:rPr>
        <w:t>’</w:t>
      </w:r>
      <w:r w:rsidR="00D81F06" w:rsidRPr="004B4DE5">
        <w:rPr>
          <w:lang w:val="fr-FR"/>
        </w:rPr>
        <w:t>autres guides et lignes directrices de l</w:t>
      </w:r>
      <w:r w:rsidR="002B48AD">
        <w:rPr>
          <w:lang w:val="fr-FR"/>
        </w:rPr>
        <w:t>’</w:t>
      </w:r>
      <w:r w:rsidR="00D81F06" w:rsidRPr="004B4DE5">
        <w:rPr>
          <w:lang w:val="fr-FR"/>
        </w:rPr>
        <w:t xml:space="preserve">OMM </w:t>
      </w:r>
      <w:r w:rsidR="009642E5">
        <w:rPr>
          <w:lang w:val="fr-FR"/>
        </w:rPr>
        <w:t>sur le sujet</w:t>
      </w:r>
      <w:r w:rsidR="00D81F06" w:rsidRPr="004B4DE5">
        <w:rPr>
          <w:lang w:val="fr-FR"/>
        </w:rPr>
        <w:t xml:space="preserve">, dont le </w:t>
      </w:r>
      <w:hyperlink r:id="rId20" w:history="1">
        <w:r w:rsidR="00D81F06" w:rsidRPr="004B4DE5">
          <w:rPr>
            <w:rStyle w:val="Hyperlink"/>
            <w:i/>
            <w:iCs/>
            <w:lang w:val="fr-FR"/>
          </w:rPr>
          <w:t>Guidance on Integrated Urban Hydrometeorological, Climate and Environmental Services – Volume I: Concept and Methodology</w:t>
        </w:r>
      </w:hyperlink>
      <w:r w:rsidR="00D81F06" w:rsidRPr="004B4DE5">
        <w:rPr>
          <w:lang w:val="fr-FR"/>
        </w:rPr>
        <w:t xml:space="preserve"> (WMO-No. 1234) (Guide sur les services hydrométéorologiques, climatologiques et environnementaux intégrés destinés aux zones urbaines – Volume I: Concept et méthodologie), le </w:t>
      </w:r>
      <w:hyperlink r:id="rId21" w:history="1">
        <w:r w:rsidR="00D81F06" w:rsidRPr="004B4DE5">
          <w:rPr>
            <w:rStyle w:val="Hyperlink"/>
            <w:i/>
            <w:iCs/>
            <w:lang w:val="fr-FR"/>
          </w:rPr>
          <w:t>Guidance on Integrated Urban Hydrometeorological, Climate and Environment Services - Volume II: Demonstration Cities</w:t>
        </w:r>
      </w:hyperlink>
      <w:r w:rsidR="00D81F06" w:rsidRPr="004B4DE5">
        <w:rPr>
          <w:lang w:val="fr-FR"/>
        </w:rPr>
        <w:t xml:space="preserve"> (WMO-No. 1234) (Guide sur les services hydrométéorologiques, climatologiques et environnementaux intégrés destinés aux zones urbaines – Volume II: Villes pilotes), les </w:t>
      </w:r>
      <w:hyperlink r:id="rId22" w:history="1">
        <w:r w:rsidR="00D81F06" w:rsidRPr="004B4DE5">
          <w:rPr>
            <w:rStyle w:val="Hyperlink"/>
            <w:i/>
            <w:iCs/>
            <w:lang w:val="fr-FR"/>
          </w:rPr>
          <w:t xml:space="preserve">Training Materials and Best Practices for Chemical Weather/Air Quality </w:t>
        </w:r>
        <w:proofErr w:type="spellStart"/>
        <w:r w:rsidR="00D81F06" w:rsidRPr="004B4DE5">
          <w:rPr>
            <w:rStyle w:val="Hyperlink"/>
            <w:i/>
            <w:iCs/>
            <w:lang w:val="fr-FR"/>
          </w:rPr>
          <w:t>Forecastin</w:t>
        </w:r>
      </w:hyperlink>
      <w:r w:rsidR="00D81F06" w:rsidRPr="004B4DE5">
        <w:rPr>
          <w:lang w:val="fr-FR"/>
        </w:rPr>
        <w:t>g</w:t>
      </w:r>
      <w:proofErr w:type="spellEnd"/>
      <w:r w:rsidR="00D81F06" w:rsidRPr="004B4DE5">
        <w:rPr>
          <w:lang w:val="fr-FR"/>
        </w:rPr>
        <w:t xml:space="preserve"> (WMO ETR-No. 26) (Supports de formation et meilleures pratiques en matière de prévisions relatives à la composition chimique de l</w:t>
      </w:r>
      <w:r w:rsidR="002B48AD">
        <w:rPr>
          <w:lang w:val="fr-FR"/>
        </w:rPr>
        <w:t>’</w:t>
      </w:r>
      <w:r w:rsidR="00D81F06" w:rsidRPr="004B4DE5">
        <w:rPr>
          <w:lang w:val="fr-FR"/>
        </w:rPr>
        <w:t>atmosphère/qualité de l</w:t>
      </w:r>
      <w:r w:rsidR="002B48AD">
        <w:rPr>
          <w:lang w:val="fr-FR"/>
        </w:rPr>
        <w:t>’</w:t>
      </w:r>
      <w:r w:rsidR="00D81F06" w:rsidRPr="004B4DE5">
        <w:rPr>
          <w:lang w:val="fr-FR"/>
        </w:rPr>
        <w:t xml:space="preserve">air) et les </w:t>
      </w:r>
      <w:hyperlink r:id="rId23" w:history="1">
        <w:r w:rsidR="00D81F06" w:rsidRPr="004B4DE5">
          <w:rPr>
            <w:rStyle w:val="Hyperlink"/>
            <w:i/>
            <w:iCs/>
            <w:lang w:val="fr-FR"/>
          </w:rPr>
          <w:t>Good practices on high-resolution modelling for Integrated Urban Services</w:t>
        </w:r>
      </w:hyperlink>
      <w:r w:rsidR="00D81F06" w:rsidRPr="004B4DE5">
        <w:rPr>
          <w:lang w:val="fr-FR"/>
        </w:rPr>
        <w:t xml:space="preserve"> (WMO-No. 1313) (Bonnes pratiques en matière de modélisation haute résolution pour les services urbains intégrés)</w:t>
      </w:r>
      <w:r w:rsidR="003743CB" w:rsidRPr="004B4DE5">
        <w:rPr>
          <w:lang w:val="fr-FR"/>
        </w:rPr>
        <w:t>.</w:t>
      </w:r>
    </w:p>
    <w:sectPr w:rsidR="003A6DA1" w:rsidRPr="004B4DE5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3F3B" w14:textId="77777777" w:rsidR="00E91112" w:rsidRDefault="00E91112">
      <w:r>
        <w:separator/>
      </w:r>
    </w:p>
    <w:p w14:paraId="712565AA" w14:textId="77777777" w:rsidR="00E91112" w:rsidRDefault="00E91112"/>
    <w:p w14:paraId="42BA238B" w14:textId="77777777" w:rsidR="00E91112" w:rsidRDefault="00E91112"/>
  </w:endnote>
  <w:endnote w:type="continuationSeparator" w:id="0">
    <w:p w14:paraId="6206F2D8" w14:textId="77777777" w:rsidR="00E91112" w:rsidRDefault="00E91112">
      <w:r>
        <w:continuationSeparator/>
      </w:r>
    </w:p>
    <w:p w14:paraId="3F9F3E7B" w14:textId="77777777" w:rsidR="00E91112" w:rsidRDefault="00E91112"/>
    <w:p w14:paraId="5B2CD1BE" w14:textId="77777777" w:rsidR="00E91112" w:rsidRDefault="00E91112"/>
  </w:endnote>
  <w:endnote w:type="continuationNotice" w:id="1">
    <w:p w14:paraId="3A496B62" w14:textId="77777777" w:rsidR="00E91112" w:rsidRDefault="00E91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E65A" w14:textId="77777777" w:rsidR="00E91112" w:rsidRDefault="00E91112">
      <w:r>
        <w:separator/>
      </w:r>
    </w:p>
  </w:footnote>
  <w:footnote w:type="continuationSeparator" w:id="0">
    <w:p w14:paraId="0003655F" w14:textId="77777777" w:rsidR="00E91112" w:rsidRDefault="00E91112">
      <w:r>
        <w:continuationSeparator/>
      </w:r>
    </w:p>
    <w:p w14:paraId="1D549BAC" w14:textId="77777777" w:rsidR="00E91112" w:rsidRDefault="00E91112"/>
    <w:p w14:paraId="51E4C4C4" w14:textId="77777777" w:rsidR="00E91112" w:rsidRDefault="00E91112"/>
  </w:footnote>
  <w:footnote w:type="continuationNotice" w:id="1">
    <w:p w14:paraId="2B092253" w14:textId="77777777" w:rsidR="00E91112" w:rsidRDefault="00E91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3F0B" w14:textId="11AC855B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FF79A3">
      <w:rPr>
        <w:sz w:val="18"/>
        <w:szCs w:val="18"/>
      </w:rPr>
      <w:t>4.10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5B"/>
    <w:rsid w:val="000035F9"/>
    <w:rsid w:val="00005301"/>
    <w:rsid w:val="000133EE"/>
    <w:rsid w:val="000172E3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3A00"/>
    <w:rsid w:val="00056FD4"/>
    <w:rsid w:val="000573AD"/>
    <w:rsid w:val="0006123B"/>
    <w:rsid w:val="00061E04"/>
    <w:rsid w:val="00064F6B"/>
    <w:rsid w:val="00072F17"/>
    <w:rsid w:val="000731AA"/>
    <w:rsid w:val="000806D8"/>
    <w:rsid w:val="00081A2A"/>
    <w:rsid w:val="00082C80"/>
    <w:rsid w:val="00083847"/>
    <w:rsid w:val="00083C36"/>
    <w:rsid w:val="00084D58"/>
    <w:rsid w:val="00087C7F"/>
    <w:rsid w:val="0009110D"/>
    <w:rsid w:val="00092CAE"/>
    <w:rsid w:val="00095E48"/>
    <w:rsid w:val="00097B9D"/>
    <w:rsid w:val="000A4F1C"/>
    <w:rsid w:val="000A69BF"/>
    <w:rsid w:val="000C225A"/>
    <w:rsid w:val="000C4768"/>
    <w:rsid w:val="000C6781"/>
    <w:rsid w:val="000D0753"/>
    <w:rsid w:val="000D0BAA"/>
    <w:rsid w:val="000D4EB9"/>
    <w:rsid w:val="000F5E49"/>
    <w:rsid w:val="000F7A87"/>
    <w:rsid w:val="00102EAE"/>
    <w:rsid w:val="001047DC"/>
    <w:rsid w:val="00105D2E"/>
    <w:rsid w:val="00106F63"/>
    <w:rsid w:val="00111BFD"/>
    <w:rsid w:val="0011498B"/>
    <w:rsid w:val="00120147"/>
    <w:rsid w:val="00123140"/>
    <w:rsid w:val="00123D94"/>
    <w:rsid w:val="00127090"/>
    <w:rsid w:val="00130BBC"/>
    <w:rsid w:val="00133D13"/>
    <w:rsid w:val="00143BBA"/>
    <w:rsid w:val="00145E3A"/>
    <w:rsid w:val="00150DBD"/>
    <w:rsid w:val="00153CB0"/>
    <w:rsid w:val="00156F9B"/>
    <w:rsid w:val="0016285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3456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2044F"/>
    <w:rsid w:val="002204FD"/>
    <w:rsid w:val="00221020"/>
    <w:rsid w:val="0022172E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2399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207B"/>
    <w:rsid w:val="00292E7E"/>
    <w:rsid w:val="00295593"/>
    <w:rsid w:val="002A354F"/>
    <w:rsid w:val="002A386C"/>
    <w:rsid w:val="002B09DF"/>
    <w:rsid w:val="002B23D4"/>
    <w:rsid w:val="002B48AD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E54FF"/>
    <w:rsid w:val="002F6DAC"/>
    <w:rsid w:val="003019E0"/>
    <w:rsid w:val="00301E8C"/>
    <w:rsid w:val="00304311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A5C"/>
    <w:rsid w:val="003618A2"/>
    <w:rsid w:val="003621FC"/>
    <w:rsid w:val="00363A0C"/>
    <w:rsid w:val="00371CF1"/>
    <w:rsid w:val="0037222D"/>
    <w:rsid w:val="00372AEF"/>
    <w:rsid w:val="00373128"/>
    <w:rsid w:val="003743CB"/>
    <w:rsid w:val="003750C1"/>
    <w:rsid w:val="0038051E"/>
    <w:rsid w:val="00380AF7"/>
    <w:rsid w:val="00394A05"/>
    <w:rsid w:val="00397770"/>
    <w:rsid w:val="00397880"/>
    <w:rsid w:val="003A1156"/>
    <w:rsid w:val="003A12B6"/>
    <w:rsid w:val="003A6DA1"/>
    <w:rsid w:val="003A7016"/>
    <w:rsid w:val="003B0C08"/>
    <w:rsid w:val="003C144E"/>
    <w:rsid w:val="003C17A5"/>
    <w:rsid w:val="003C1843"/>
    <w:rsid w:val="003D1552"/>
    <w:rsid w:val="003E381F"/>
    <w:rsid w:val="003E4046"/>
    <w:rsid w:val="003E4A31"/>
    <w:rsid w:val="003F003A"/>
    <w:rsid w:val="003F125B"/>
    <w:rsid w:val="003F7B3F"/>
    <w:rsid w:val="004058AD"/>
    <w:rsid w:val="00406797"/>
    <w:rsid w:val="0041078D"/>
    <w:rsid w:val="00416F97"/>
    <w:rsid w:val="00417845"/>
    <w:rsid w:val="00417CA1"/>
    <w:rsid w:val="0042127E"/>
    <w:rsid w:val="00424D06"/>
    <w:rsid w:val="00425173"/>
    <w:rsid w:val="0043039B"/>
    <w:rsid w:val="00436197"/>
    <w:rsid w:val="004423FE"/>
    <w:rsid w:val="00442C11"/>
    <w:rsid w:val="00443FF1"/>
    <w:rsid w:val="00445C35"/>
    <w:rsid w:val="00453CF9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8756C"/>
    <w:rsid w:val="00491024"/>
    <w:rsid w:val="0049253B"/>
    <w:rsid w:val="004A140B"/>
    <w:rsid w:val="004A1516"/>
    <w:rsid w:val="004A4B47"/>
    <w:rsid w:val="004A6415"/>
    <w:rsid w:val="004B0EC9"/>
    <w:rsid w:val="004B4DE5"/>
    <w:rsid w:val="004B7BAA"/>
    <w:rsid w:val="004C2DF7"/>
    <w:rsid w:val="004C4E0B"/>
    <w:rsid w:val="004D497E"/>
    <w:rsid w:val="004E4809"/>
    <w:rsid w:val="004E4CC3"/>
    <w:rsid w:val="004E576B"/>
    <w:rsid w:val="004E5985"/>
    <w:rsid w:val="004E6352"/>
    <w:rsid w:val="004E6460"/>
    <w:rsid w:val="004F6B46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41B4"/>
    <w:rsid w:val="005457E5"/>
    <w:rsid w:val="00546D8E"/>
    <w:rsid w:val="00553738"/>
    <w:rsid w:val="00553F7E"/>
    <w:rsid w:val="0056646F"/>
    <w:rsid w:val="00571AE1"/>
    <w:rsid w:val="00572519"/>
    <w:rsid w:val="00581B28"/>
    <w:rsid w:val="005859C2"/>
    <w:rsid w:val="00587DAC"/>
    <w:rsid w:val="0059013E"/>
    <w:rsid w:val="00592267"/>
    <w:rsid w:val="0059421F"/>
    <w:rsid w:val="00595E5A"/>
    <w:rsid w:val="005A136D"/>
    <w:rsid w:val="005A20AA"/>
    <w:rsid w:val="005A694C"/>
    <w:rsid w:val="005B0AE2"/>
    <w:rsid w:val="005B1C5A"/>
    <w:rsid w:val="005B1F2C"/>
    <w:rsid w:val="005B5F3C"/>
    <w:rsid w:val="005C2A05"/>
    <w:rsid w:val="005C31DA"/>
    <w:rsid w:val="005C41F2"/>
    <w:rsid w:val="005D03D9"/>
    <w:rsid w:val="005D1EE8"/>
    <w:rsid w:val="005D56AE"/>
    <w:rsid w:val="005D666D"/>
    <w:rsid w:val="005E3A59"/>
    <w:rsid w:val="005E5DAD"/>
    <w:rsid w:val="005F7A42"/>
    <w:rsid w:val="00604802"/>
    <w:rsid w:val="00607862"/>
    <w:rsid w:val="00615AB0"/>
    <w:rsid w:val="00616247"/>
    <w:rsid w:val="0061778C"/>
    <w:rsid w:val="00620D11"/>
    <w:rsid w:val="006241F6"/>
    <w:rsid w:val="00630321"/>
    <w:rsid w:val="00636B90"/>
    <w:rsid w:val="0064738B"/>
    <w:rsid w:val="006508EA"/>
    <w:rsid w:val="00657CB7"/>
    <w:rsid w:val="00667E86"/>
    <w:rsid w:val="0068392D"/>
    <w:rsid w:val="006923BD"/>
    <w:rsid w:val="00697DB5"/>
    <w:rsid w:val="006A1B33"/>
    <w:rsid w:val="006A492A"/>
    <w:rsid w:val="006A7142"/>
    <w:rsid w:val="006B1B1A"/>
    <w:rsid w:val="006B51C2"/>
    <w:rsid w:val="006B54A3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309F"/>
    <w:rsid w:val="00730ADA"/>
    <w:rsid w:val="00732C37"/>
    <w:rsid w:val="00735D9E"/>
    <w:rsid w:val="00745A09"/>
    <w:rsid w:val="007479AC"/>
    <w:rsid w:val="00751EAF"/>
    <w:rsid w:val="00754CF7"/>
    <w:rsid w:val="00757B0D"/>
    <w:rsid w:val="00761320"/>
    <w:rsid w:val="007651B1"/>
    <w:rsid w:val="00766285"/>
    <w:rsid w:val="00767CE1"/>
    <w:rsid w:val="00771463"/>
    <w:rsid w:val="00771A68"/>
    <w:rsid w:val="007744D2"/>
    <w:rsid w:val="00784E49"/>
    <w:rsid w:val="00786136"/>
    <w:rsid w:val="0079231A"/>
    <w:rsid w:val="007B05CF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13BF"/>
    <w:rsid w:val="0080398D"/>
    <w:rsid w:val="00805174"/>
    <w:rsid w:val="00806385"/>
    <w:rsid w:val="00807CC5"/>
    <w:rsid w:val="00807ED7"/>
    <w:rsid w:val="00814108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0AD6"/>
    <w:rsid w:val="0088163A"/>
    <w:rsid w:val="00886FA7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C7ACD"/>
    <w:rsid w:val="008D0C90"/>
    <w:rsid w:val="008D6BD0"/>
    <w:rsid w:val="008E1E4A"/>
    <w:rsid w:val="008F0615"/>
    <w:rsid w:val="008F0D7A"/>
    <w:rsid w:val="008F103E"/>
    <w:rsid w:val="008F1FDB"/>
    <w:rsid w:val="008F36FB"/>
    <w:rsid w:val="00902EA9"/>
    <w:rsid w:val="0090427F"/>
    <w:rsid w:val="00905B8A"/>
    <w:rsid w:val="00920506"/>
    <w:rsid w:val="00923A81"/>
    <w:rsid w:val="00931DEB"/>
    <w:rsid w:val="0093261F"/>
    <w:rsid w:val="00933957"/>
    <w:rsid w:val="009356FA"/>
    <w:rsid w:val="0094603B"/>
    <w:rsid w:val="00946936"/>
    <w:rsid w:val="009504A1"/>
    <w:rsid w:val="00950605"/>
    <w:rsid w:val="00952233"/>
    <w:rsid w:val="00952434"/>
    <w:rsid w:val="00954B06"/>
    <w:rsid w:val="00954D66"/>
    <w:rsid w:val="00963F8F"/>
    <w:rsid w:val="009642E5"/>
    <w:rsid w:val="00972509"/>
    <w:rsid w:val="00973C62"/>
    <w:rsid w:val="00975D76"/>
    <w:rsid w:val="00981ADE"/>
    <w:rsid w:val="00982E51"/>
    <w:rsid w:val="009874B9"/>
    <w:rsid w:val="00992ED2"/>
    <w:rsid w:val="00993581"/>
    <w:rsid w:val="009976DE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752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5A27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1419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02A7"/>
    <w:rsid w:val="00B33821"/>
    <w:rsid w:val="00B424D9"/>
    <w:rsid w:val="00B447C0"/>
    <w:rsid w:val="00B523C9"/>
    <w:rsid w:val="00B52510"/>
    <w:rsid w:val="00B53E53"/>
    <w:rsid w:val="00B548A2"/>
    <w:rsid w:val="00B56934"/>
    <w:rsid w:val="00B62F03"/>
    <w:rsid w:val="00B72444"/>
    <w:rsid w:val="00B73C08"/>
    <w:rsid w:val="00B93309"/>
    <w:rsid w:val="00B93B62"/>
    <w:rsid w:val="00B953D1"/>
    <w:rsid w:val="00B96D93"/>
    <w:rsid w:val="00BA30D0"/>
    <w:rsid w:val="00BA52F8"/>
    <w:rsid w:val="00BB0D32"/>
    <w:rsid w:val="00BB3894"/>
    <w:rsid w:val="00BB43FE"/>
    <w:rsid w:val="00BC76B5"/>
    <w:rsid w:val="00BD5420"/>
    <w:rsid w:val="00BD5667"/>
    <w:rsid w:val="00BE6BF0"/>
    <w:rsid w:val="00BE7BB2"/>
    <w:rsid w:val="00BF5191"/>
    <w:rsid w:val="00C03928"/>
    <w:rsid w:val="00C04BD2"/>
    <w:rsid w:val="00C05C85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4C50"/>
    <w:rsid w:val="00C55E5B"/>
    <w:rsid w:val="00C62739"/>
    <w:rsid w:val="00C679A4"/>
    <w:rsid w:val="00C720A4"/>
    <w:rsid w:val="00C727D5"/>
    <w:rsid w:val="00C74F59"/>
    <w:rsid w:val="00C7611C"/>
    <w:rsid w:val="00C76E6B"/>
    <w:rsid w:val="00C864E5"/>
    <w:rsid w:val="00C94097"/>
    <w:rsid w:val="00C9447D"/>
    <w:rsid w:val="00CA4269"/>
    <w:rsid w:val="00CA48CA"/>
    <w:rsid w:val="00CA7330"/>
    <w:rsid w:val="00CB1003"/>
    <w:rsid w:val="00CB1C84"/>
    <w:rsid w:val="00CB5363"/>
    <w:rsid w:val="00CB5443"/>
    <w:rsid w:val="00CB64F0"/>
    <w:rsid w:val="00CC2909"/>
    <w:rsid w:val="00CD0549"/>
    <w:rsid w:val="00CE6B3C"/>
    <w:rsid w:val="00D048A1"/>
    <w:rsid w:val="00D05E6F"/>
    <w:rsid w:val="00D20296"/>
    <w:rsid w:val="00D2231A"/>
    <w:rsid w:val="00D276BD"/>
    <w:rsid w:val="00D27929"/>
    <w:rsid w:val="00D3095D"/>
    <w:rsid w:val="00D31EF9"/>
    <w:rsid w:val="00D33442"/>
    <w:rsid w:val="00D34270"/>
    <w:rsid w:val="00D34F01"/>
    <w:rsid w:val="00D40334"/>
    <w:rsid w:val="00D419C6"/>
    <w:rsid w:val="00D44BAD"/>
    <w:rsid w:val="00D45B55"/>
    <w:rsid w:val="00D4785A"/>
    <w:rsid w:val="00D52E43"/>
    <w:rsid w:val="00D5781B"/>
    <w:rsid w:val="00D664D7"/>
    <w:rsid w:val="00D67E1E"/>
    <w:rsid w:val="00D7097B"/>
    <w:rsid w:val="00D7197D"/>
    <w:rsid w:val="00D72BC4"/>
    <w:rsid w:val="00D815FC"/>
    <w:rsid w:val="00D8175B"/>
    <w:rsid w:val="00D81F06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04FDA"/>
    <w:rsid w:val="00E1464C"/>
    <w:rsid w:val="00E14ADB"/>
    <w:rsid w:val="00E22F78"/>
    <w:rsid w:val="00E2425D"/>
    <w:rsid w:val="00E24F87"/>
    <w:rsid w:val="00E2617A"/>
    <w:rsid w:val="00E273FB"/>
    <w:rsid w:val="00E31CD4"/>
    <w:rsid w:val="00E41ABF"/>
    <w:rsid w:val="00E538E6"/>
    <w:rsid w:val="00E56696"/>
    <w:rsid w:val="00E74332"/>
    <w:rsid w:val="00E768A9"/>
    <w:rsid w:val="00E802A2"/>
    <w:rsid w:val="00E8410F"/>
    <w:rsid w:val="00E85C0B"/>
    <w:rsid w:val="00E91112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1603F"/>
    <w:rsid w:val="00F21B41"/>
    <w:rsid w:val="00F2412D"/>
    <w:rsid w:val="00F25D8D"/>
    <w:rsid w:val="00F27D87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30EC"/>
    <w:rsid w:val="00FB0872"/>
    <w:rsid w:val="00FB3F90"/>
    <w:rsid w:val="00FB54CC"/>
    <w:rsid w:val="00FD1A37"/>
    <w:rsid w:val="00FD4E5B"/>
    <w:rsid w:val="00FE4EE0"/>
    <w:rsid w:val="00FF0F9A"/>
    <w:rsid w:val="00FF40FB"/>
    <w:rsid w:val="00FF582E"/>
    <w:rsid w:val="00FF7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7EA88C9"/>
  <w15:docId w15:val="{11EB06BC-EDD0-4C3F-8DE8-8C7D43E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55219/47" TargetMode="External"/><Relationship Id="rId18" Type="http://schemas.openxmlformats.org/officeDocument/2006/relationships/hyperlink" Target="https://library.wmo.int/records/item/54300-training-materials-and-best-practices-for-chemical-weather-air-quality-forecasting-etr-26?offset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records/item/57316-guidance-on-integrated-urban-hydrometeorological-climate-and-environment-services-volume-ii?offset=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5219/42" TargetMode="External"/><Relationship Id="rId17" Type="http://schemas.openxmlformats.org/officeDocument/2006/relationships/hyperlink" Target="https://library.wmo.int/records/item/57316-guidance-on-integrated-urban-hydrometeorological-climate-and-environment-services-volume-ii?offset=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6760-guidance-on-integrated-urban-hydrometeorological-climate-and-environmental-services-volume-i?offset=1" TargetMode="External"/><Relationship Id="rId20" Type="http://schemas.openxmlformats.org/officeDocument/2006/relationships/hyperlink" Target="https://library.wmo.int/records/item/56760-guidance-on-integrated-urban-hydrometeorological-climate-and-environmental-services-volume-i?offset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3/_layouts/15/WopiFrame.aspx?sourcedoc=%7b31473138-EAD6-42B3-A399-0992512B0281%7d&amp;file=SERCOM-3-INF04-10(1)-GOOD-PRACTICES-FOR-INTEGRATED-URBAN-SERVICES_fr-MT.docx&amp;action=default" TargetMode="External"/><Relationship Id="rId23" Type="http://schemas.openxmlformats.org/officeDocument/2006/relationships/hyperlink" Target="https://meetings.wmo.int/SERCOM-3/InformationDocuments/Forms/By%20Languag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3/InformationDocuments/Forms/By%20Languag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5382/14" TargetMode="External"/><Relationship Id="rId22" Type="http://schemas.openxmlformats.org/officeDocument/2006/relationships/hyperlink" Target="https://library.wmo.int/records/item/54300-training-materials-and-best-practices-for-chemical-weather-air-quality-forecasting-etr-26?offset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41E7-B0D5-4E99-9629-A13B75CC1B32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3679bf0f-1d7e-438f-afa5-6ebf1e20f9b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 (1)</Template>
  <TotalTime>106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10087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105</cp:revision>
  <cp:lastPrinted>2013-03-12T09:27:00Z</cp:lastPrinted>
  <dcterms:created xsi:type="dcterms:W3CDTF">2024-02-22T14:47:00Z</dcterms:created>
  <dcterms:modified xsi:type="dcterms:W3CDTF">2024-02-23T09:29:00Z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